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LPersVG (Brandenburg) — Einberufung und Leitung von Sitzungen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Spätestens zehn Arbeitstage nach dem Tag, an dem das Wahlergebnis festgestellt worden ist, hat der Wahlvorstand die Mitglieder des Personalrates zur Vornahme der nach § 33 vorgeschriebenen Wahlen einzuberufen und die Sitzung zu leiten, bis der Personalrat aus seiner Mitte eine Wahlleiterin oder einen Wahlleiter bestellt hat.</w:t>
      </w:r>
    </w:p>
    <w:p>
      <w:r>
        <w:t xml:space="preserve">(2) Die weiteren Sitzungen beraumt das den Vorsitz führende Vorstandsmitglied des Personalrates an. Es setzt die Tagesordnung fest, lädt die Mitglieder des Personalrates zu den Sitzungen rechtzeitig unter Mitteilung der Tagesordnung ein und leitet die Verhandlung. Satz 2 gilt auch für die Ladung der Mitglieder der Jugend- und Auszubildendenvertretung, der Schwerbehindertenvertretung und soweit ein Teilnahmerecht an der Sitzung besteht.</w:t>
      </w:r>
    </w:p>
    <w:p>
      <w:r>
        <w:t xml:space="preserve">(3) Auf Antrag</w:t>
      </w:r>
    </w:p>
    <w:p>
      <w:r>
        <w:t xml:space="preserve">eines Viertels der Mitglieder des Personalrates,</w:t>
      </w:r>
    </w:p>
    <w:p>
      <w:r>
        <w:t xml:space="preserve">der Mehrheit einer Gruppenvertretung,</w:t>
      </w:r>
    </w:p>
    <w:p>
      <w:r>
        <w:t xml:space="preserve">der Dienststellenleitung,</w:t>
      </w:r>
    </w:p>
    <w:p>
      <w:r>
        <w:t xml:space="preserve">der Schwerbehindertenvertretung in Angelegenheiten, die besonders schwerbehinderte Beschäftigte betreffen,</w:t>
      </w:r>
    </w:p>
    <w:p>
      <w:r>
        <w:t xml:space="preserve">der Mehrheit der Mitglieder der Jugend- und Auszubildendenvertretung in Angelegenheiten, die besonders die jugendlichen Beschäftigten betreffen, oder</w:t>
      </w:r>
    </w:p>
    <w:p>
      <w:r>
        <w:t xml:space="preserve">von 10 vom Hundert der wahlberechtigten Beschäftigten</w:t>
      </w:r>
    </w:p>
    <w:p>
      <w:r>
        <w:t xml:space="preserve">ist innerhalb von zehn Arbeitstagen eine Sitzung anzuberaumen und der Gegenstand, dessen Beratung beantragt ist, auf die Tagesordnung zu setzen. Dies gilt auch für die im Personalrat vertretenen Gewerkschaften, wenn sie beabsichtigen, einen Antrag nach § 28 Absatz 1 zu stellen.</w:t>
      </w:r>
    </w:p>
    <w:p>
      <w:r>
        <w:rPr>
          <w:color w:val="555555"/>
          <w:sz w:val="17"/>
        </w:rPr>
        <w:t xml:space="preserve">Zitiervorschlag: § 34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