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LPersVG (Brandenburg) — Abweichende Sitzverteilung und Wahl gruppenfremder Beschäftigter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Verteilung der Mitglieder des Personalrates auf die Gruppen kann von den Vorschriften des § 17 abweichen, wenn jede Gruppe dies vor der Neuwahl in getrennter geheimer Abstimmung beschließt. Die Abstimmung führt der Wahlvorstand auf Antrag von mindestens einem Zehntel der Wahlberechtigten jeder Gruppe durch.</w:t>
      </w:r>
    </w:p>
    <w:p>
      <w:r>
        <w:t xml:space="preserve">(2) Für eine Gruppe können auch Angehörige der anderen Gruppe vorgeschlagen und gewählt werden. Die Gewählten gelten als Angehörige derjenigen Gruppenvertretung, für die sie vorgeschlagen worden sind.</w:t>
      </w:r>
    </w:p>
    <w:p>
      <w:r>
        <w:t xml:space="preserve">(3) Erhält eine Gruppe nach § 17 Absatz 1 und 2 keine Vertretung und findet Gruppenwahl statt, so können ihre Angehörigen die Kandidaten der anderen Gruppe mitwählen.</w:t>
      </w:r>
    </w:p>
    <w:p>
      <w:r>
        <w:rPr>
          <w:color w:val="555555"/>
          <w:sz w:val="17"/>
        </w:rPr>
        <w:t xml:space="preserve">Zitiervorschlag: § 18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