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LPersVG (Brandenburg) — Anzahl der Mitglieder des Personalrates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Personalrat besteht in Dienststellen mit</w:t>
      </w:r>
    </w:p>
    <w:p>
      <w:r>
        <w:t xml:space="preserve">5 bis 20 Wahlberechtigten</w:t>
      </w:r>
    </w:p>
    <w:p>
      <w:r>
        <w:t xml:space="preserve">aus einer Person,</w:t>
      </w:r>
    </w:p>
    <w:p>
      <w:r>
        <w:t xml:space="preserve">21 bis 50 Wahlberechtigten</w:t>
      </w:r>
    </w:p>
    <w:p>
      <w:r>
        <w:t xml:space="preserve">aus drei Mitgliedern,</w:t>
      </w:r>
    </w:p>
    <w:p>
      <w:r>
        <w:t xml:space="preserve">51 bis 150 Wahlberechtigten</w:t>
      </w:r>
    </w:p>
    <w:p>
      <w:r>
        <w:t xml:space="preserve">aus fünf Mitgliedern,</w:t>
      </w:r>
    </w:p>
    <w:p>
      <w:r>
        <w:t xml:space="preserve">151 bis 300 Wahlberechtigten</w:t>
      </w:r>
    </w:p>
    <w:p>
      <w:r>
        <w:t xml:space="preserve">aus sieben Mitgliedern,</w:t>
      </w:r>
    </w:p>
    <w:p>
      <w:r>
        <w:t xml:space="preserve">301 bis 600 Wahlberechtigten</w:t>
      </w:r>
    </w:p>
    <w:p>
      <w:r>
        <w:t xml:space="preserve">aus neun Mitgliedern,</w:t>
      </w:r>
    </w:p>
    <w:p>
      <w:r>
        <w:t xml:space="preserve">601 bis 1 000 Wahlberechtigten</w:t>
      </w:r>
    </w:p>
    <w:p>
      <w:r>
        <w:t xml:space="preserve">aus elf Mitgliedern.</w:t>
      </w:r>
    </w:p>
    <w:p>
      <w:r>
        <w:t xml:space="preserve">Die Zahl der Mitglieder erhöht sich in Dienststellen ab 1 001 Wahlberechtigten um jeweils zwei je angefangene 700 Wahlberechtigte bis zur Höchstzahl von 21 Mitgliedern.</w:t>
      </w:r>
    </w:p>
    <w:p>
      <w:r>
        <w:t xml:space="preserve">(2) Maßgebend ist die Zahl der Wahlberechtigten am Tag des Erlasses des Wahlausschreibens.</w:t>
      </w:r>
    </w:p>
    <w:p>
      <w:r>
        <w:rPr>
          <w:color w:val="555555"/>
          <w:sz w:val="17"/>
        </w:rPr>
        <w:t xml:space="preserve">Zitiervorschlag: § 16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