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LPersVG (Brandenburg) — Unfallfürsorge</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Erleidet eine Beamtin oder ein Beamter anlässlich der Wahrnehmung von Rechten oder Erfüllung von Pflichten nach diesem Gesetz einen Unfall, der im Sinne der beamtenrechtlichen Unfallfürsorgevorschriften ein Dienstunfall wäre, so sind diese Vorschriften entsprechend anzuwenden.</w:t>
      </w:r>
    </w:p>
    <w:p>
      <w:r>
        <w:t xml:space="preserve">(2) Für andere Mitglieder des Personalrates gelten die beamtenrechtlichen Bestimmungen über den Ersatz von Sachschäden entsprechend.</w:t>
      </w:r>
    </w:p>
    <w:p>
      <w:r>
        <w:rPr>
          <w:color w:val="555555"/>
          <w:sz w:val="17"/>
        </w:rPr>
        <w:t xml:space="preserve">Zitiervorschlag: § 11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