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LPersVG (Brandenburg) — Sonstige Übergangsvorschriften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Frist nach § 61 Absatz 5 Satz 3 für Vorlagen, die der übergeordneten Behörde vor dem 15. Mai 2024 zugegangen sind, beginnt am 15. Mai 2024.</w:t>
      </w:r>
    </w:p>
    <w:p>
      <w:r>
        <w:t xml:space="preserve">(2) In den Fällen des § 92 des Landesdisziplinargesetzes gilt § 69 Absatz 1 Nummer 7 mit der Maßgabe, dass auch die Entscheidung über die Erhebung der Disziplinarklage der Mitwirkung des Personalrates unterliegt.</w:t>
      </w:r>
    </w:p>
    <w:p>
      <w:r>
        <w:rPr>
          <w:color w:val="555555"/>
          <w:sz w:val="17"/>
        </w:rPr>
        <w:t xml:space="preserve">Zitiervorschlag: § 107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https://recht.nulegal.eu/gesetze/LPersVG/107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