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LPartG — Sonstige vermögensrechtliche Wirkungen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Zugunsten der Gläubiger eines der Lebenspartner wird vermutet, dass die im Besitz eines Lebenspartners oder beider Lebenspartner befindlichen beweglichen Sachen dem Schuldner gehören. Im Übrigen gilt § 1362 Abs. 1 Satz 2 und 3 und Abs. 2 des Bürgerlichen Gesetzbuchs entsprechend.</w:t>
      </w:r>
    </w:p>
    <w:p>
      <w:r>
        <w:t xml:space="preserve">(2) § 1357 des Bürgerlichen Gesetzbuchs gilt entsprechend.</w:t>
      </w:r>
    </w:p>
    <w:p>
      <w:r>
        <w:rPr>
          <w:color w:val="555555"/>
          <w:sz w:val="17"/>
        </w:rPr>
        <w:t xml:space="preserve">Zitiervorschlag: § 8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