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LPartG — Güterstand</w:t>
      </w:r>
    </w:p>
    <w:p>
      <w:r>
        <w:rPr>
          <w:color w:val="555555"/>
          <w:sz w:val="18"/>
        </w:rPr>
        <w:t xml:space="preserve">Lebenspartnerschaftsgesetz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Lebenspartner leben im Güterstand der Zugewinngemeinschaft, wenn sie nicht durch Lebenspartnerschaftsvertrag (§ 7) etwas anderes vereinbaren. § 1363 Abs. 2 und die §§ 1364 bis 1390 des Bürgerlichen Gesetzbuchs gelten entsprechend.</w:t>
      </w:r>
    </w:p>
    <w:p>
      <w:r>
        <w:rPr>
          <w:color w:val="555555"/>
          <w:sz w:val="17"/>
        </w:rPr>
        <w:t xml:space="preserve">Zitiervorschlag: § 6 LPartG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https://recht.nulegal.eu/gesetze/LPartG/6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