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LPartG — Versorgungsausgleich</w:t>
      </w:r>
    </w:p>
    <w:p>
      <w:r>
        <w:rPr>
          <w:color w:val="555555"/>
          <w:sz w:val="18"/>
        </w:rPr>
        <w:t xml:space="preserve">Lebenspartnerschaftsgesetz</w:t>
      </w:r>
    </w:p>
    <w:p>
      <w:r>
        <w:rPr>
          <w:color w:val="555555"/>
          <w:sz w:val="18"/>
        </w:rPr>
        <w:t xml:space="preserve">Stand: 10.06.2019 (konsolidierte Textfassung, kein amtliches Inkrafttretensdatum)</w:t>
      </w:r>
    </w:p>
    <w:p>
      <w:r>
        <w:t xml:space="preserve">(1) Wird eine Lebenspartnerschaft aufgehoben, findet in entsprechender Anwendung des Versorgungsausgleichsgesetzes ein Ausgleich von im In- oder Ausland bestehenden Anrechten (§ 2 Abs. 1 des Versorgungsausgleichsgesetzes) statt, soweit sie in der Lebenspartnerschaftszeit begründet oder aufrechterhalten worden sind.</w:t>
      </w:r>
    </w:p>
    <w:p>
      <w:r>
        <w:t xml:space="preserve">(2) Als Lebenspartnerschaftszeit gilt die Zeit vom Beginn des Monats, in dem die Lebenspartnerschaft begründet worden ist, bis zum Ende des Monats, der dem Eintritt der Rechtshängigkeit des Antrages auf Aufhebung der Lebenspartnerschaft vorausgeht.</w:t>
      </w:r>
    </w:p>
    <w:p>
      <w:r>
        <w:t xml:space="preserve">(3) Schließen die Lebenspartner in einem Lebenspartnerschaftsvertrag (§ 7) Vereinbarungen über den Versorgungsausgleich, so sind die §§ 6 bis 8 des Versorgungsausgleichsgesetzes entsprechend anzuwenden.</w:t>
      </w:r>
    </w:p>
    <w:p>
      <w:r>
        <w:t xml:space="preserve">(4) Die Absätze 1 bis 3 sind nicht anzuwenden, wenn die Lebenspartnerschaft vor dem 1. Januar 2005 begründet worden ist und die Lebenspartner eine Erklärung nach § 21 Abs. 4 nicht abgegeben haben.</w:t>
      </w:r>
    </w:p>
    <w:p>
      <w:r>
        <w:rPr>
          <w:color w:val="555555"/>
          <w:sz w:val="17"/>
        </w:rPr>
        <w:t xml:space="preserve">Zitiervorschlag: § 20 LPartG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https://recht.nulegal.eu/gesetze/LPartG/20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