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LPachtVG — Entscheidungen und Anordnungen des Landwirtschaftsgerichts</w:t>
      </w:r>
    </w:p>
    <w:p>
      <w:r>
        <w:rPr>
          <w:color w:val="555555"/>
          <w:sz w:val="18"/>
        </w:rPr>
        <w:t xml:space="preserve">Landpachtverkehrsgesetz</w:t>
      </w:r>
    </w:p>
    <w:p>
      <w:r>
        <w:rPr>
          <w:color w:val="555555"/>
          <w:sz w:val="18"/>
        </w:rPr>
        <w:t xml:space="preserve">Stand: 10.06.2019 (konsolidierte Textfassung, kein amtliches Inkrafttretensdatum)</w:t>
      </w:r>
    </w:p>
    <w:p>
      <w:r>
        <w:t xml:space="preserve">(1) Stellt ein Vertragsteil den Antrag auf gerichtliche Entscheidung, kann das Landwirtschaftsgericht entweder feststellen, daß der Landpachtvertrag nicht zu beanstanden ist, oder den Landpachtvertrag aufheben; das gleiche gilt für die Vertragsänderung. Erachtet das Landwirtschaftsgericht eine auf § 4 Abs. 1 Nr. 3 gestützte Beanstandung für begründet, kann es den Vertrag insoweit ändern, statt ihn aufzuheben.</w:t>
      </w:r>
    </w:p>
    <w:p>
      <w:r>
        <w:t xml:space="preserve">(2) Auf Antrag eines Vertragsteils kann das Landwirtschaftsgericht Anordnungen über die Abwicklung eines aufgehobenen Landpachtvertrags treffen. Der Inhalt von Anordnungen des Landwirtschaftsgerichts gilt unter den Vertragsteilen als Vertragsinhalt. Über Streitigkeiten, die diesen Vertragsinhalt betreffen, entscheidet auf Antrag das Landwirtschaftsgericht.</w:t>
      </w:r>
    </w:p>
    <w:p>
      <w:r>
        <w:rPr>
          <w:color w:val="555555"/>
          <w:sz w:val="17"/>
        </w:rPr>
        <w:t xml:space="preserve">Zitiervorschlag: § 8 LPachtVG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https://recht.nulegal.eu/gesetze/LPachtVG/8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