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LPachtVG — Beanstandungsverfahren</w:t>
      </w:r>
    </w:p>
    <w:p>
      <w:r>
        <w:rPr>
          <w:color w:val="555555"/>
          <w:sz w:val="18"/>
        </w:rPr>
        <w:t xml:space="preserve">Landpachtverkehrsgesetz</w:t>
      </w:r>
    </w:p>
    <w:p>
      <w:r>
        <w:rPr>
          <w:color w:val="555555"/>
          <w:sz w:val="18"/>
        </w:rPr>
        <w:t xml:space="preserve">Stand: 10.06.2019 (konsolidierte Textfassung, kein amtliches Inkrafttretensdatum)</w:t>
      </w:r>
    </w:p>
    <w:p>
      <w:r>
        <w:t xml:space="preserve">(1) Die Entscheidung über die Beanstandung eines Landpachtvertrags oder einer Vertragsänderung ist binnen eines Monats nach Anzeige des Vertragsabschlusses oder der Vertragsänderung durch schriftlichen Bescheid zu treffen. Dauert die Prüfung des Landpachtvertrags voraussichtlich länger, ist vor Ablauf der Frist den Vertragsteilen ein Zwischenbescheid zu erteilen, durch den sich die Frist auf zwei Monate verlängert. Der Landpachtvertrag oder die Vertragsänderung gilt als nicht beanstandet, wenn die Frist abläuft, ohne daß den Vertragsteilen ein Beanstandungsbescheid bekanntgegeben worden ist.</w:t>
      </w:r>
    </w:p>
    <w:p>
      <w:r>
        <w:t xml:space="preserve">(2) In dem Beanstandungsbescheid sind die Vertragsteile aufzufordern, den Landpachtvertrag oder die Vertragsänderung bis zu einem bestimmten Zeitpunkt, der mindestens einen Monat nach Bekanntgabe des Bescheids liegen soll, aufzuheben oder in bestimmter Weise zu ändern. Kommen die Vertragsteile der Aufforderung nicht nach, gilt der Landpachtvertrag oder die Vertragsänderung mit Ablauf der Frist als aufgehoben, sofern nicht vorher ein Vertragsteil einen Antrag auf gerichtliche Entscheidung gestellt hat.</w:t>
      </w:r>
    </w:p>
    <w:p>
      <w:r>
        <w:t xml:space="preserve">(3) Die Vertragsteile sind in dem Beanstandungsbescheid über die Zulässigkeit des Antrags auf gerichtliche Entscheidung, über das Gericht, bei dem der Antrag zu stellen ist, den Sitz des Gerichts und die einzuhaltende Frist zu belehren.</w:t>
      </w:r>
    </w:p>
    <w:p>
      <w:r>
        <w:rPr>
          <w:color w:val="555555"/>
          <w:sz w:val="17"/>
        </w:rPr>
        <w:t xml:space="preserve">Zitiervorschlag: § 7 LPachtVG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https://recht.nulegal.eu/gesetze/LPachtVG/7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