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LPachtVG — Ordnungsmaßnahmen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anzuzeigender Landpachtvertrag oder eine anzuzeigende Vertragsänderung nicht fristgemäß angezeigt worden, kann die zuständige Behörde die Anzeige verlangen.</w:t>
      </w:r>
    </w:p>
    <w:p>
      <w:r>
        <w:t xml:space="preserve">(2) Ist ein Landpachtvertrag nach den §§ 7 und 8 aufgehoben worden, kann die zuständige Behörde von den Vertragsteilen verlangen, daß eine bereits vorgenommene Übertragung des Besitzes an der Pachtsache innerhalb einer angemessenen Frist rückgängig gemacht wird.</w:t>
      </w:r>
    </w:p>
    <w:p>
      <w:r>
        <w:t xml:space="preserve">(3) Über die Rechtmäßigkeit von Maßnahmen nach den Absätzen 1 und 2 entscheidet auf Antrag das Landwirtschaftsgericht.</w:t>
      </w:r>
    </w:p>
    <w:p>
      <w:r>
        <w:rPr>
          <w:color w:val="555555"/>
          <w:sz w:val="17"/>
        </w:rPr>
        <w:t xml:space="preserve">Zitiervorschlag: § 10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