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LPZVO - (Nordrhein-Westfalen) — Geltungsbereich</w:t>
      </w:r>
    </w:p>
    <w:p>
      <w:r>
        <w:rPr>
          <w:color w:val="555555"/>
          <w:sz w:val="18"/>
        </w:rPr>
        <w:t xml:space="preserve">Leistungsprämien- und -zulagenverordnung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regelt die Gewährung von Leistungsprämien und Leistungszulagen an Beamte in Besoldungsgruppen der Besoldungsordnung A im Geltungsbereich des Landesbeamtengesetzes. Sie gilt nicht für kommunale Wahlbeamte.</w:t>
      </w:r>
    </w:p>
    <w:p>
      <w:r>
        <w:rPr>
          <w:color w:val="555555"/>
          <w:sz w:val="17"/>
        </w:rPr>
        <w:t xml:space="preserve">Zitiervorschlag: § 1 LPZVO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https://recht.nulegal.eu/gesetze/LPZVO%20-/1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