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LPO II (Bayern)</w:t>
      </w:r>
    </w:p>
    <w:p>
      <w:r>
        <w:rPr>
          <w:color w:val="555555"/>
          <w:sz w:val="18"/>
        </w:rPr>
        <w:t xml:space="preserve">Lehramtsprüfungsordnung II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28. Oktober 2004</w:t>
      </w:r>
    </w:p>
    <w:p>
      <w:r>
        <w:t xml:space="preserve">Bayerisches Staatsministerium für Unterricht und Kultus</w:t>
      </w:r>
    </w:p>
    <w:p>
      <w:r>
        <w:t xml:space="preserve">Monika Hohlmeier, Staatsministerin</w:t>
      </w:r>
    </w:p>
    <w:p>
      <w:r>
        <w:rPr>
          <w:color w:val="555555"/>
          <w:sz w:val="17"/>
        </w:rPr>
        <w:t xml:space="preserve">Zitiervorschlag: Schlussformel LPO II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https://recht.nulegal.eu/gesetze/LPO%20II/schlussformel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