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LPO II (Bayern)</w:t>
      </w:r>
    </w:p>
    <w:p>
      <w:r>
        <w:rPr>
          <w:color w:val="555555"/>
          <w:sz w:val="18"/>
        </w:rPr>
        <w:t xml:space="preserve">Lehramtsprüfungsordnung II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115 Abs. 2 Satz 2 Halbsatz 2 des Bayerischen Beamtengesetzes (BayBG) in der Fassung der Bekanntmachung vom 27. August 1998 (GVBl S. 702, BayRS 2030-1-1-F), zuletzt geändert durch Gesetz vom 24. März 2004 (GVBl S. 99), und Art. 28 Abs. 2 des Bayerischen Lehrerbildungsgesetzes (BayLBG) in der Fassung der Bekanntmachung vom 12. Dezember 1995 (GVBl 1996 S. 16, ber. S. 40, BayRS 2238-1-UK), zuletzt geändert durch § 1 Nr. 81 des Gesetzes vom 7. August 2003 (GVBl S. 497), erlässt das Bayerische Staatsministerium für Unterricht und Kultus im Einvernehmen mit dem Landespersonalausschuss folgende Verordnung:</w:t>
      </w:r>
    </w:p>
    <w:p>
      <w:r>
        <w:rPr>
          <w:color w:val="555555"/>
          <w:sz w:val="17"/>
        </w:rPr>
        <w:t xml:space="preserve">Zitiervorschlag: Eingangsformel LPO II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https://recht.nulegal.eu/gesetze/LPO%20II/eingangsformel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