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LPO II (Bayern) — Unterschleif und Beeinflussungsversuch</w:t>
      </w:r>
    </w:p>
    <w:p>
      <w:r>
        <w:rPr>
          <w:color w:val="555555"/>
          <w:sz w:val="18"/>
        </w:rPr>
        <w:t xml:space="preserve">Lehramtsprüfungsordnung II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Fällen von Unterschleif und Beeinflussungsversuch ist analog zu § 13 LPO I zu verfahren.</w:t>
      </w:r>
    </w:p>
    <w:p>
      <w:r>
        <w:rPr>
          <w:color w:val="555555"/>
          <w:sz w:val="17"/>
        </w:rPr>
        <w:t xml:space="preserve">Zitiervorschlag: § 9 LPO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https://recht.nulegal.eu/gesetze/LPO%20II/9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