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LPO II (Bayern) — Besondere Erweiterungen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Bestimmungen des Zweiten Teils dieser Prüfungsordnung gelten nicht, wenn</w:t>
      </w:r>
    </w:p>
    <w:p>
      <w:r>
        <w:t xml:space="preserve">1. das Studium für eines der Lehrämter an Grundschulen, an Mittelschulen, an Realschulen oder an beruflichen Schulen durch das abgeschlossene Studium der Psychologie mit schulpsychologischem Schwerpunkt (Art. 14 Nr. 4 , Art. 15 Nr. 4 , Art. 16 Nr. 3 , Art. 18 Nr. 3 BayLBG)</w:t>
      </w:r>
    </w:p>
    <w:p>
      <w:r>
        <w:t xml:space="preserve">oder</w:t>
      </w:r>
    </w:p>
    <w:p>
      <w:r>
        <w:t xml:space="preserve">2. das Studium für das Lehramt an beruflichen Schulen durch das Studium einer weiteren beruflichen Fachrichtung (Art. 18 Nr. 3 BayLBG)</w:t>
      </w:r>
    </w:p>
    <w:p>
      <w:r>
        <w:t xml:space="preserve">erweitert wurde. In diesen Fällen richtet sich die Prüfung nach den Bestimmungen des Ersten Teils §§ 15 ff.</w:t>
      </w:r>
    </w:p>
    <w:p>
      <w:r>
        <w:rPr>
          <w:color w:val="555555"/>
          <w:sz w:val="17"/>
        </w:rPr>
        <w:t xml:space="preserve">Zitiervorschlag: § 36 LPO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https://recht.nulegal.eu/gesetze/LPO%20II/36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