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LPO II (Bayern) — Prüfungsergebnis</w:t>
      </w:r>
    </w:p>
    <w:p>
      <w:r>
        <w:rPr>
          <w:color w:val="555555"/>
          <w:sz w:val="18"/>
        </w:rPr>
        <w:t xml:space="preserve">Lehramtsprüfungsordnung II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Das Prüfungsergebnis im Erweiterungsfach wird in einer Note zusammengefasst. Diese wird gebildet aus</w:t>
      </w:r>
    </w:p>
    <w:p>
      <w:r>
        <w:t xml:space="preserve">1. der Note der Lehrprobe bzw. des schulpsychologischen Fachgesprächs,</w:t>
      </w:r>
    </w:p>
    <w:p>
      <w:r>
        <w:t xml:space="preserve">2. der Note der mündlichen Prüfung.</w:t>
      </w:r>
    </w:p>
    <w:p>
      <w:r>
        <w:t xml:space="preserve">Beide Noten haben gleiches Gewicht. Im Fall des § 29 Abs. 1 Satz 3 ist die Note der mündlichen Prüfung das Prüfungsergebnis.</w:t>
      </w:r>
    </w:p>
    <w:p>
      <w:r>
        <w:rPr>
          <w:color w:val="555555"/>
          <w:sz w:val="17"/>
        </w:rPr>
        <w:t xml:space="preserve">Zitiervorschlag: § 30 LPO II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https://recht.nulegal.eu/gesetze/LPO%20II/30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