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LPO II (Bayern) — Prüfungsergebnis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Prüfungsergebnis wird in einer Gesamtnote zusammengefasst. Diese wird gebildet aus</w:t>
      </w:r>
    </w:p>
    <w:p>
      <w:r>
        <w:t xml:space="preserve">1. der Note der Unterrichtskompetenz,</w:t>
      </w:r>
    </w:p>
    <w:p>
      <w:r>
        <w:t xml:space="preserve">2. der Note der erzieherischen Kompetenz,</w:t>
      </w:r>
    </w:p>
    <w:p>
      <w:r>
        <w:t xml:space="preserve">3. der Note der Handlungs- und Sachkompetenz,</w:t>
      </w:r>
    </w:p>
    <w:p>
      <w:r>
        <w:t xml:space="preserve">4. der Durchschnittsnote der Lehrproben,</w:t>
      </w:r>
    </w:p>
    <w:p>
      <w:r>
        <w:t xml:space="preserve">5. der Note des Kolloquiums,</w:t>
      </w:r>
    </w:p>
    <w:p>
      <w:r>
        <w:t xml:space="preserve">6. der Note der schriftlichen Hausarbeit,</w:t>
      </w:r>
    </w:p>
    <w:p>
      <w:r>
        <w:t xml:space="preserve">7. der Durchschnittsnote der mündlichen Prüfung.</w:t>
      </w:r>
    </w:p>
    <w:p>
      <w:r>
        <w:t xml:space="preserve">Aus den nach Satz 1 Nr. 1 bis 3 zu erteilenden Noten wird eine Durchschnittsnote nach § 8 dieser Prüfungsordnung in Verbindung mit § 12 Abs. 1 Satz 1 und 2 LPO I gebildet; dabei zählen die Noten der Unterrichtskompetenz und der erzieherischen Kompetenz je dreifach und die Note der Handlungs- und Sachkompetenz zweifach. Bei der Ermittlung der Gesamtnote zählt die Durchschnittsnote nach Satz 3 fünffach, die Durchschnittsnote der Lehrproben vierfach und die Durchschnittsnote der mündlichen Prüfung zweifach; die anderen Noten zählen je einfach. Die so ermittelte Notensumme wird durch 13 geteilt.</w:t>
      </w:r>
    </w:p>
    <w:p>
      <w:r>
        <w:rPr>
          <w:color w:val="555555"/>
          <w:sz w:val="17"/>
        </w:rPr>
        <w:t xml:space="preserve">Zitiervorschlag: § 23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