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LPO I (Bayern) — Kunst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1. Bestehen einer Eignungsprüfung vor Beginn des Studiums gemäß der Qualifikationsverordnung.</w:t>
      </w:r>
    </w:p>
    <w:p>
      <w:r>
        <w:t xml:space="preserve">2. Nachweis von</w:t>
      </w:r>
    </w:p>
    <w:p>
      <w:r>
        <w:t xml:space="preserve">a) mindestens 28 Leistungspunkten aus dem Bereich Künstlerische Praxis, darunter Grafisches Gestalten (insbesondere Zeichnen und Drucken), farbiges Gestalten, Gestalten im Raum, Gestalten mit verschiedenen – insbesondere digitalen – Medien, Szenisches Spiel,</w:t>
      </w:r>
    </w:p>
    <w:p>
      <w:r>
        <w:t xml:space="preserve">b) mindestens 8 Leistungspunkten aus dem Bereich Bildnerische Praxis, darunter Werken oder Konstruktives Bauen und Fertigungsbezogenes Zeichnen (einschließlich CAD) oder Umwelt- und Produktgestaltung; Studierende des Lehramts an Realschulen müssen davon mindestens 4 Leistungspunkte aus dem Teilbereich Fertigungsbezogenes Zeichnen (einschließlich CAD) nachweisen;</w:t>
      </w:r>
    </w:p>
    <w:p>
      <w:r>
        <w:t xml:space="preserve">c) mindestens 9 Leistungspunkten aus der Kunstwissenschaft,</w:t>
      </w:r>
    </w:p>
    <w:p>
      <w:r>
        <w:t xml:space="preserve">d) mindestens 10 Leistungspunkten aus der Fachdidaktik.</w:t>
      </w:r>
    </w:p>
    <w:p>
      <w:r>
        <w:t xml:space="preserve">(2) Inhaltliche Prüfungsanforderungen</w:t>
      </w:r>
    </w:p>
    <w:p>
      <w:r>
        <w:t xml:space="preserve">1. Kunstpraxis</w:t>
      </w:r>
    </w:p>
    <w:p>
      <w:r>
        <w:t xml:space="preserve">Gestaltung und Präsentation in verschiedenen Techniken und Medien.</w:t>
      </w:r>
    </w:p>
    <w:p>
      <w:r>
        <w:t xml:space="preserve">2. Kunstwissenschaft</w:t>
      </w:r>
    </w:p>
    <w:p>
      <w:r>
        <w:t xml:space="preserve">Kunstgeschichte bis zur Gegenwartskunst (Schwerpunkt Europa); Werkerschließung.</w:t>
      </w:r>
    </w:p>
    <w:p>
      <w:r>
        <w:t xml:space="preserve">3. Fachdidaktische Kenntnisse gemäß § 33, insbesondere:</w:t>
      </w:r>
    </w:p>
    <w:p>
      <w:r>
        <w:t xml:space="preserve">Bildnerisches Gestalten in der Kindheit und Jugend, Methoden und Konzepte des Kunstunterrichts (Geschichte der Kunstpädagogik, Kreativitätsförderung, Werkbetrachtung, Unterrichtsmodelle: Planung, Durchführung, Reflexion).</w:t>
      </w:r>
    </w:p>
    <w:p>
      <w:r>
        <w:t xml:space="preserve">(3) Prüfungsteile</w:t>
      </w:r>
    </w:p>
    <w:p>
      <w:r>
        <w:t xml:space="preserve">1. Praktische Prüfung</w:t>
      </w:r>
    </w:p>
    <w:p>
      <w:r>
        <w:t xml:space="preserve">Eine Aufgabe aus der Kunstpraxis</w:t>
      </w:r>
    </w:p>
    <w:p>
      <w:r>
        <w:t xml:space="preserve">(Bearbeitungszeit: 6 Stunden);</w:t>
      </w:r>
    </w:p>
    <w:p>
      <w:r>
        <w:t xml:space="preserve">zwei Themen werden zur Wahl gestellt.</w:t>
      </w:r>
    </w:p>
    <w:p>
      <w:r>
        <w:t xml:space="preserve">2. Schriftliche Prüfung</w:t>
      </w:r>
    </w:p>
    <w:p>
      <w:r>
        <w:t xml:space="preserve">a) Werkanalyse: formale und inhaltliche Auseinandersetzung mit Kunstwerken unter Berücksichtigung historischer Aspekte</w:t>
      </w:r>
    </w:p>
    <w:p>
      <w:r>
        <w:t xml:space="preserve">(Bearbeitungszeit: 4 Stunden);</w:t>
      </w:r>
    </w:p>
    <w:p>
      <w:r>
        <w:t xml:space="preserve">zwei Themen werden zur Wahl gestellt;</w:t>
      </w:r>
    </w:p>
    <w:p>
      <w:r>
        <w:t xml:space="preserve">b) eine Aufgabe aus der Fachdidaktik</w:t>
      </w:r>
    </w:p>
    <w:p>
      <w:r>
        <w:t xml:space="preserve">(Bearbeitungszeit: 3 Stunden);</w:t>
      </w:r>
    </w:p>
    <w:p>
      <w:r>
        <w:t xml:space="preserve">drei Themen werden zur Wahl gestellt.</w:t>
      </w:r>
    </w:p>
    <w:p>
      <w:r>
        <w:t xml:space="preserve">(4) Bewertung</w:t>
      </w:r>
    </w:p>
    <w:p>
      <w:r>
        <w:t xml:space="preserve">Die praktischen Arbeiten nach Abs. 3 Nr. 1 werden von einem Prüfungsausschuss beurteilt, der mit Stimmenmehrheit entscheidet; kommt eine Stimmenmehrheit für eine Note nicht zustande, so gilt § 26 Abs. 11 Satz 2 und 3 sinngemäß. Bei der Ermittlung der Durchschnittsnote nach § 30 wird die Note für die praktische Leistung nach Abs. 3 Nr. 1 dreifach, die Note für die schriftliche Leistung nach Abs. 3 Nr. 2 Buchst. a einfach gewertet (Teiler 4).</w:t>
      </w:r>
    </w:p>
    <w:p>
      <w:r>
        <w:t xml:space="preserve">(5) Besondere Bestimmungen für die Erweiterung mit Kunst</w:t>
      </w:r>
    </w:p>
    <w:p>
      <w:r>
        <w:t xml:space="preserve">Es ist der Nachweis gemäß Abs. 1 Nr. 1 zu erbringen.</w:t>
      </w:r>
    </w:p>
    <w:p>
      <w:r>
        <w:rPr>
          <w:color w:val="555555"/>
          <w:sz w:val="17"/>
        </w:rPr>
        <w:t xml:space="preserve">Zitiervorschlag: § 50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https://recht.nulegal.eu/gesetze/LPO%20I/50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