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43a LPO I (Bayern) — Deutsch als Zweitsprache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Nachweis von</w:t>
      </w:r>
    </w:p>
    <w:p>
      <w:r>
        <w:t xml:space="preserve">1. mindestens 5 Leistungspunkten aus einem einsemestrigen studienbegleitenden Praktikum oder einem vierwöchigen Blockpraktikum,</w:t>
      </w:r>
    </w:p>
    <w:p>
      <w:r>
        <w:t xml:space="preserve">2. mindestens 10 Leistungspunkten aus den Bereichen Einblick in die gewählte Partnersprache und Kenntnisse aus der kontrastiven Sprachbetrachtung und des Zweitspracherwerbs unter didaktischen Aspekten,</w:t>
      </w:r>
    </w:p>
    <w:p>
      <w:r>
        <w:t xml:space="preserve">3. mindestens 30 Leistungspunkten aus dem Bereich Deutsch als Zweitsprache.</w:t>
      </w:r>
    </w:p>
    <w:p>
      <w:r>
        <w:t xml:space="preserve">(2) Inhaltliche Prüfungsanforderungen</w:t>
      </w:r>
    </w:p>
    <w:p>
      <w:r>
        <w:t xml:space="preserve">1. Migrations- und Identitätsforschung,</w:t>
      </w:r>
    </w:p>
    <w:p>
      <w:r>
        <w:t xml:space="preserve">2. Zweitspracherwerbsforschung/Mehrsprachigkeitsforschung,</w:t>
      </w:r>
    </w:p>
    <w:p>
      <w:r>
        <w:t xml:space="preserve">3. Sprachsystem und Sprachgebrauch (einschließlich kontrastiver Sprachbetrachtung),</w:t>
      </w:r>
    </w:p>
    <w:p>
      <w:r>
        <w:t xml:space="preserve">4. Mündlichkeit und Schriftlichkeit im Unterricht,</w:t>
      </w:r>
    </w:p>
    <w:p>
      <w:r>
        <w:t xml:space="preserve">5. Sprachvermittlung und Lernen in interkulturellen Kontexten.</w:t>
      </w:r>
    </w:p>
    <w:p>
      <w:r>
        <w:t xml:space="preserve">(3) Prüfungsteile</w:t>
      </w:r>
    </w:p>
    <w:p>
      <w:r>
        <w:t xml:space="preserve">1. Schriftliche Prüfung</w:t>
      </w:r>
    </w:p>
    <w:p>
      <w:r>
        <w:t xml:space="preserve">Eine Aufgabe aus Deutsch als Zweitsprache</w:t>
      </w:r>
    </w:p>
    <w:p>
      <w:r>
        <w:t xml:space="preserve">(Bearbeitungszeit: 3 Stunden);</w:t>
      </w:r>
    </w:p>
    <w:p>
      <w:r>
        <w:t xml:space="preserve">drei Themen werden zur Wahl gestellt.</w:t>
      </w:r>
    </w:p>
    <w:p>
      <w:r>
        <w:t xml:space="preserve">2. Mündliche Prüfung</w:t>
      </w:r>
    </w:p>
    <w:p>
      <w:r>
        <w:t xml:space="preserve">a) Sprachvermittlung und Lernen in interkulturellen Kontexten</w:t>
      </w:r>
    </w:p>
    <w:p>
      <w:r>
        <w:t xml:space="preserve">(Dauer: 20 Minuten),</w:t>
      </w:r>
    </w:p>
    <w:p>
      <w:r>
        <w:t xml:space="preserve">b) Mehrsprachigkeit</w:t>
      </w:r>
    </w:p>
    <w:p>
      <w:r>
        <w:t xml:space="preserve">(Dauer: 20 Minuten).</w:t>
      </w:r>
    </w:p>
    <w:p>
      <w:r>
        <w:t xml:space="preserve">(4) Bewertung</w:t>
      </w:r>
    </w:p>
    <w:p>
      <w:r>
        <w:t xml:space="preserve">Die Fachnote wird in der Art gebildet, dass die Summe aus dem dreifachen Zahlenwert der Note für die schriftliche Leistung nach Abs. 3 Nr. 1 und dem jeweils einfachen Zahlenwert der Noten für die mündlichen Leistungen nach Abs. 3 Nr. 2 Buchst. a und b durch 5 geteilt wird.</w:t>
      </w:r>
    </w:p>
    <w:p>
      <w:r>
        <w:t xml:space="preserve">(5) Besondere Bestimmungen für die Erweiterung mit Deutsch als Zweitsprache</w:t>
      </w:r>
    </w:p>
    <w:p>
      <w:r>
        <w:t xml:space="preserve">Es sind die Nachweise gemäß Abs. 1 zu erbringen; im Fall der nachträglichen Erweiterung gemäß Art. 23 BayLBG sind nur die Nachweise nach Abs. 1 Nr. 2 zu erbringen.</w:t>
      </w:r>
    </w:p>
    <w:p>
      <w:r>
        <w:rPr>
          <w:color w:val="555555"/>
          <w:sz w:val="17"/>
        </w:rPr>
        <w:t xml:space="preserve">Zitiervorschlag: § 43a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https://recht.nulegal.eu/gesetze/LPO%20I/43a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