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LPO I (Bayern) — Begriffsbestimmungen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nichts anderes bestimmt ist, wird der Begriff „Fach“ im Sinn dieser Prüfungsordnung verwendet für</w:t>
      </w:r>
    </w:p>
    <w:p>
      <w:r>
        <w:t xml:space="preserve">1. Erziehungswissenschaften (§ 32),</w:t>
      </w:r>
    </w:p>
    <w:p>
      <w:r>
        <w:t xml:space="preserve">2. Didaktik der Naturwissenschaft und Technik (§§ 35 bis 38),</w:t>
      </w:r>
    </w:p>
    <w:p>
      <w:r>
        <w:t xml:space="preserve">3. Didaktik der Grundschule (§ 36),</w:t>
      </w:r>
    </w:p>
    <w:p>
      <w:r>
        <w:t xml:space="preserve">4. Didaktiken einer Fächergruppe der Mittelschule (§ 38),</w:t>
      </w:r>
    </w:p>
    <w:p>
      <w:r>
        <w:t xml:space="preserve">5. ein Unterrichtsfach (§§ 40 bis 58),</w:t>
      </w:r>
    </w:p>
    <w:p>
      <w:r>
        <w:t xml:space="preserve">6. ein vertieft studiertes Fach für das Lehramt an Gymnasien (§§ 61 bis 84),</w:t>
      </w:r>
    </w:p>
    <w:p>
      <w:r>
        <w:t xml:space="preserve">7. eine vertieft studierte sonderpädagogische Fachrichtung (§§ 94 bis 100),</w:t>
      </w:r>
    </w:p>
    <w:p>
      <w:r>
        <w:t xml:space="preserve">8. eine sonderpädagogische Fachrichtung als Qualifizierungsstudium oder eine sonderpädagogische Qualifikation (§§ 103 bis 109),</w:t>
      </w:r>
    </w:p>
    <w:p>
      <w:r>
        <w:t xml:space="preserve">9. Psychologie mit schulpsychologischem Schwerpunkt (§ 110),</w:t>
      </w:r>
    </w:p>
    <w:p>
      <w:r>
        <w:t xml:space="preserve">10. eine pädagogische Qualifikation (§§ 112 bis 119).</w:t>
      </w:r>
    </w:p>
    <w:p>
      <w:r>
        <w:rPr>
          <w:color w:val="555555"/>
          <w:sz w:val="17"/>
        </w:rPr>
        <w:t xml:space="preserve">Zitiervorschlag: § 2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