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119 LPO I (Bayern) — Bildung für nachhaltige Entwicklung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Mit Bestehen der Ersten Staatsprüfung im Fach Bildung für nachhaltige Entwicklung gilt dieses Fach als nachträgliche Erweiterung gemäß Art. 23 BayLBG.</w:t>
      </w:r>
    </w:p>
    <w:p>
      <w:r>
        <w:t xml:space="preserve">(2) Fachliche Zulassungsvoraussetzungen</w:t>
      </w:r>
    </w:p>
    <w:p>
      <w:r>
        <w:t xml:space="preserve">Nachweis der erfolgreichen Teilnahme an</w:t>
      </w:r>
    </w:p>
    <w:p>
      <w:r>
        <w:t xml:space="preserve">1. einer Lehrveranstaltung zu den Grundlagen der Bildung für nachhaltige Entwicklung und ihren Herausforderungen,</w:t>
      </w:r>
    </w:p>
    <w:p>
      <w:r>
        <w:t xml:space="preserve">2. einer Lehrveranstaltung zu fachdidaktischen Zugängen zu Bildung für nachhaltige Entwicklung,</w:t>
      </w:r>
    </w:p>
    <w:p>
      <w:r>
        <w:t xml:space="preserve">3. einer Lehrveranstaltung aus dem Bereich Schulentwicklung unter dem Aspekt der Bildung für nachhaltige Entwicklung.</w:t>
      </w:r>
    </w:p>
    <w:p>
      <w:r>
        <w:t xml:space="preserve">(3) Inhaltliche Prüfungsanforderungen</w:t>
      </w:r>
    </w:p>
    <w:p>
      <w:r>
        <w:t xml:space="preserve">1. Grundlagen einer Bildung für nachhaltige Entwicklung,</w:t>
      </w:r>
    </w:p>
    <w:p>
      <w:r>
        <w:t xml:space="preserve">2. Lokale, regionale und globale Herausforderungen nachhaltiger Entwicklung,</w:t>
      </w:r>
    </w:p>
    <w:p>
      <w:r>
        <w:t xml:space="preserve">3. Didaktik der Bildung für nachhaltige Entwicklung unter Berücksichtigung der verschiedenen fachdidaktischen Zugänge sowie fächerübergreifender Aspekte,</w:t>
      </w:r>
    </w:p>
    <w:p>
      <w:r>
        <w:t xml:space="preserve">4. Schulentwicklungskonzepte mit Blick auf Bildung für nachhaltige Entwicklung,</w:t>
      </w:r>
    </w:p>
    <w:p>
      <w:r>
        <w:t xml:space="preserve">5. Konzepte zur Förderung von Gestaltungs- und Handlungskompetenz insbesondere bei Schülerinnen und Schülern.</w:t>
      </w:r>
    </w:p>
    <w:p>
      <w:r>
        <w:t xml:space="preserve">(4) Prüfungsteile</w:t>
      </w:r>
    </w:p>
    <w:p>
      <w:r>
        <w:t xml:space="preserve">1. Schriftliche Prüfung</w:t>
      </w:r>
    </w:p>
    <w:p>
      <w:r>
        <w:t xml:space="preserve">Eine Aufgabe zu Grundlagen, Herausforderungen und Didaktik der Bildung für nachhaltige Entwicklung</w:t>
      </w:r>
    </w:p>
    <w:p>
      <w:r>
        <w:t xml:space="preserve">(Bearbeitungszeit: 4 Stunden);</w:t>
      </w:r>
    </w:p>
    <w:p>
      <w:r>
        <w:t xml:space="preserve">2. Praktische Prüfung</w:t>
      </w:r>
    </w:p>
    <w:p>
      <w:r>
        <w:t xml:space="preserve">Eine während des Studiums entwickelte, ausgearbeitete Unterrichtseinheit, die sich mit Didaktik und Schulentwicklung bei Bildung für nachhaltige Entwicklung und der Förderung entsprechender Kompetenzen beschäftigt, ist vorzustellen; im Zusammenhang damit sind Fragen der prüfungsberechtigten Personen zu beantworten;</w:t>
      </w:r>
    </w:p>
    <w:p>
      <w:r>
        <w:t xml:space="preserve">(Dauer: 30 Minuten).</w:t>
      </w:r>
    </w:p>
    <w:p>
      <w:r>
        <w:t xml:space="preserve">(5) Bewertung</w:t>
      </w:r>
    </w:p>
    <w:p>
      <w:r>
        <w:t xml:space="preserve">Die praktische Prüfung nach Abs. 4 Nr. 2 wird von einem Prüfungsausschuss bewertet, dem zwei prüfungsberechtigte Personen aus dem in § 11 Abs. 1 und 2 Satz 1 Nr. 1 bis 6 genannten Personenkreis angehören sowie eine weitere prüfungsberechtigte Person, die dem in § 11 Abs. 2 Satz 1 Nr. 7 genannten Personenkreis angehören soll. Ist eine prüfungsberechtigte Person nach § 11 Abs. 2 Satz 1 Nr. 7 nicht verfügbar, kann auch die weitere prüfungsberechtigte Person dem in § 11 Abs. 1 und 2 Satz Nr. 1 bis 6 genannten Personenkreis angehören. Für die Festlegung der Note gilt § 28 Abs. 3 Satz 1 und 2 sinngemäß. Kommt eine Einigung nicht zustande, so erhält der Prüfungsteilnehmer oder die Prüfungsteilnehmerin die Note nach § 12 Abs. 1, die sich gemäß § 12 als Mittel aus den Bewertungen aller beteiligten Prüfer ergibt.</w:t>
      </w:r>
    </w:p>
    <w:p>
      <w:r>
        <w:rPr>
          <w:color w:val="555555"/>
          <w:sz w:val="17"/>
        </w:rPr>
        <w:t xml:space="preserve">Zitiervorschlag: § 119 LPO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https://recht.nulegal.eu/gesetze/LPO%20I/119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