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115 LPO I (Bayern) — Medienpädagogik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Bestehen der Ersten Staatsprüfung im Fach Medienpädagogik gilt dieses Fach als nachträgliche Erweiterung gemäß Art. 23 BayLBG.</w:t>
      </w:r>
    </w:p>
    <w:p>
      <w:r>
        <w:t xml:space="preserve">(2) Fachliche Zulassungsvoraussetzungen</w:t>
      </w:r>
    </w:p>
    <w:p>
      <w:r>
        <w:t xml:space="preserve">1. Nachweis über informationstechnische Kenntnisse</w:t>
      </w:r>
    </w:p>
    <w:p>
      <w:r>
        <w:t xml:space="preserve">a) Grundkenntnisse in informatischer Modellbildung und der Entwicklung von Computerprogrammen;</w:t>
      </w:r>
    </w:p>
    <w:p>
      <w:r>
        <w:t xml:space="preserve">b) Überblick über Aufbau, Komponenten und Funktionen von Rechnern, Rechnernetzen und Betriebssystemen; Datenbanksysteme und Datensicherheit;</w:t>
      </w:r>
    </w:p>
    <w:p>
      <w:r>
        <w:t xml:space="preserve">c) sichere Beherrschung von Software zur multifunktionalen Bearbeitung und Aufbereitung von Information und zur Kommunikation;</w:t>
      </w:r>
    </w:p>
    <w:p>
      <w:r>
        <w:t xml:space="preserve">2. Erfolgreiche Teilnahme an</w:t>
      </w:r>
    </w:p>
    <w:p>
      <w:r>
        <w:t xml:space="preserve">a) einer Lehrveranstaltung zur Medienerziehung,</w:t>
      </w:r>
    </w:p>
    <w:p>
      <w:r>
        <w:t xml:space="preserve">b) einer Lehrveranstaltung zur Mediendidaktik.</w:t>
      </w:r>
    </w:p>
    <w:p>
      <w:r>
        <w:t xml:space="preserve">(3) Inhaltliche Prüfungsanforderungen</w:t>
      </w:r>
    </w:p>
    <w:p>
      <w:r>
        <w:t xml:space="preserve">1. Medienerziehung,</w:t>
      </w:r>
    </w:p>
    <w:p>
      <w:r>
        <w:t xml:space="preserve">2. Mediendidaktik,</w:t>
      </w:r>
    </w:p>
    <w:p>
      <w:r>
        <w:t xml:space="preserve">3. Mediengestaltung.</w:t>
      </w:r>
    </w:p>
    <w:p>
      <w:r>
        <w:t xml:space="preserve">(4) Prüfungsteile</w:t>
      </w:r>
    </w:p>
    <w:p>
      <w:r>
        <w:t xml:space="preserve">1. Schriftliche Prüfung</w:t>
      </w:r>
    </w:p>
    <w:p>
      <w:r>
        <w:t xml:space="preserve">a) Eine Aufgabe oder Aufgabengruppe aus der Medienerziehung</w:t>
      </w:r>
    </w:p>
    <w:p>
      <w:r>
        <w:t xml:space="preserve">(Bearbeitungszeit: 4 Stunden),</w:t>
      </w:r>
    </w:p>
    <w:p>
      <w:r>
        <w:t xml:space="preserve">b) eine Aufgabe oder Aufgabengruppe aus der Mediendidaktik</w:t>
      </w:r>
    </w:p>
    <w:p>
      <w:r>
        <w:t xml:space="preserve">(Bearbeitungszeit: 4 Stunden).</w:t>
      </w:r>
    </w:p>
    <w:p>
      <w:r>
        <w:t xml:space="preserve">2. Praktische Prüfung</w:t>
      </w:r>
    </w:p>
    <w:p>
      <w:r>
        <w:t xml:space="preserve">Mediengestaltung</w:t>
      </w:r>
    </w:p>
    <w:p>
      <w:r>
        <w:t xml:space="preserve">(Dauer: 45 Minuten);</w:t>
      </w:r>
    </w:p>
    <w:p>
      <w:r>
        <w:t xml:space="preserve">ein während der Ausbildung entwickeltes Projekt ist vorzustellen; im Zusammenhang damit sind Fragen der prüfungsberechtigten Personen zu beantworten.</w:t>
      </w:r>
    </w:p>
    <w:p>
      <w:r>
        <w:t xml:space="preserve">(5) Bewertung</w:t>
      </w:r>
    </w:p>
    <w:p>
      <w:r>
        <w:t xml:space="preserve">Die praktische Prüfung nach Abs. 4 Nr. 2 wird von einem Prüfungsausschuss bewertet, dem zwei prüfungsberechtigte Personen aus dem in § 11 Abs. 1 und 2 Satz 1 Nr. 1 bis 6 genannten Personenkreis angehören, von denen einer auch für den Bereich informationstechnische Kenntnisse und einer auch für den Bereich Mediendidaktik bestellt sein muss, sowie eine weitere prüfungsberechtigte Person, die dem in § 11 Abs. 2 Satz 1 Nr. 7 genannten Personenkreis angehören soll. Ist eine prüfungsberechtigte Person nach § 11 Abs. 2 Satz 1 Nr. 7 nicht verfügbar, kann auch die weitere prüfungsberechtigte Person dem in § 11 Abs. 1 und 2 Satz 1 Nr. 1 bis 6 genannten Personenkreis angehören. Falls das Projekt fachdidaktisch ausgerichtet ist, soll der Prüfungsausschuss um eine prüfungsberechtigte Person aus dem in § 11 Abs. 1 und 2 Satz 1 Nr. 1 bis 6 genannten Personenkreis erweitert werden, der für die Fachdidaktik dieses Fachs bestellt ist. Für die Festlegung der Note gilt § 28 Abs. 3 Satz 1 und 2 sinngemäß. Kommt eine Einigung nicht zustande, so erhält der Prüfungsteilnehmer oder die Prüfungsteilnehmerin die Note nach § 12 Abs. 1, die sich gemäß § 12 als Mittel aus den Bewertungen aller beteiligten prüfungsberechtigten Personen ergibt. Bei der Ermittlung der Durchschnittsnote nach § 30 werden die Noten für die beiden schriftlichen Leistungen nach Abs. 4 Nr. 1 Buchst. a und b je vierfach und die Note für die praktische Leistung nach Abs. 4 Nr. 2 dreifach gewertet (Teiler 11).</w:t>
      </w:r>
    </w:p>
    <w:p>
      <w:r>
        <w:t xml:space="preserve">(6) Nichtbestehen der Prüfung</w:t>
      </w:r>
    </w:p>
    <w:p>
      <w:r>
        <w:t xml:space="preserve">Die Prüfung ist, unbeschadet des § 31, auch dann nicht bestanden, wenn die Note für die praktische Leistung nach Abs. 4 Nr. 2 schlechter als „mangelhaft“ ist.</w:t>
      </w:r>
    </w:p>
    <w:p>
      <w:r>
        <w:rPr>
          <w:color w:val="555555"/>
          <w:sz w:val="17"/>
        </w:rPr>
        <w:t xml:space="preserve">Zitiervorschlag: § 115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