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LOgrVO NRW (Nordrhein-Westfalen) — Inkrafttreten</w:t>
      </w:r>
    </w:p>
    <w:p>
      <w:r>
        <w:rPr>
          <w:color w:val="555555"/>
          <w:sz w:val="18"/>
        </w:rPr>
        <w:t xml:space="preserve">Landesobergrenzenverordnung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Tag nach der Verkündigung in Kraft.</w:t>
      </w:r>
    </w:p>
    <w:p>
      <w:r>
        <w:t xml:space="preserve">(2) Mit Inkrafttreten dieser Verordnung treten die Verordnung über Obergrenzen für Beförderungsämter im Land Nordrhein-Westfalen vom 12. Juni 2007 (GV. NRW. S. 204) und die Verordnung über Obergrenzen für Beförderungsämter im gehobenen Polizeivollzugsdienst des Landes Nordrhein-Westfalen vom 14. Dezember 2004 (GV. NRW. S. 822) außer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Für den</w:t>
      </w:r>
    </w:p>
    <w:p>
      <w:r>
        <w:t xml:space="preserve">Finanzminister</w:t>
      </w:r>
    </w:p>
    <w:p>
      <w:r>
        <w:t xml:space="preserve">die Ministerin</w:t>
      </w:r>
    </w:p>
    <w:p>
      <w:r>
        <w:t xml:space="preserve">für Wirtschaft, Mittelstand und Energie</w:t>
      </w:r>
    </w:p>
    <w:p>
      <w:r>
        <w:t xml:space="preserve">Für den</w:t>
      </w:r>
    </w:p>
    <w:p>
      <w:r>
        <w:t xml:space="preserve">Innenminister</w:t>
      </w:r>
    </w:p>
    <w:p>
      <w:r>
        <w:t xml:space="preserve">der Minister</w:t>
      </w:r>
    </w:p>
    <w:p>
      <w:r>
        <w:t xml:space="preserve">für Arbeit, Gesundheit und Soziales</w:t>
      </w:r>
    </w:p>
    <w:p>
      <w:r>
        <w:rPr>
          <w:color w:val="555555"/>
          <w:sz w:val="17"/>
        </w:rPr>
        <w:t xml:space="preserve">Zitiervorschlag: § 5 LOgrVO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https://recht.nulegal.eu/gesetze/LOgrVO%20NRW/5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