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LOgrVO NRW (Nordrhein-Westfalen) — Übergangsbestimmung</w:t>
      </w:r>
    </w:p>
    <w:p>
      <w:r>
        <w:rPr>
          <w:color w:val="555555"/>
          <w:sz w:val="18"/>
        </w:rPr>
        <w:t xml:space="preserve">Landesobergrenzenverordnung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volle Ausschöpfung der sich aus § 2 ergebenden Beförderungsstellen für die Besoldungsgruppen A 13, A 12 und A 11 darf frühestens ab dem Jahr 2014 erfolgen. Bis dahin ist beginnend ab dem Jahr 2009 der Aufbau in jährlich gleichmäßigen Schritten vorzunehmen. Die für die Besoldungsgruppe A 11 auf der Grundlage der Verordnung über Obergrenzen für Beförderungsämter im gehobenen Polizeivollzugsdienst des Landes Nordrhein-Westfalen vom 14. Dezember 2004 (GV. NRW. S. 822) bereits vollzogenen Aufbauschritte bleiben unberührt. Die Stellenobergrenzenregelung für die Besoldungsgruppe A 10 ist erstmals ab dem Jahr 2014 anzuwenden. Näheres regelt für alle Beförderungsämter der Haushalt.</w:t>
      </w:r>
    </w:p>
    <w:p>
      <w:r>
        <w:rPr>
          <w:color w:val="555555"/>
          <w:sz w:val="17"/>
        </w:rPr>
        <w:t xml:space="preserve">Zitiervorschlag: § 4 LOgrVO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https://recht.nulegal.eu/gesetze/LOgrVO%20NRW/4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