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LOG (Brandenburg) — Durchführung von Landes- und Bundesrecht sowie Recht der Europäischen Gemeinschaften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Ist eine oberste Landesbehörde durch Bundes- oder Landesrecht ermächtigt, Befugnisse zu übertragen, so ist von dieser Ermächtigung durch Rechtsverordnung Gebrauch zu machen, sofern nicht besondere Gründe die Zuständigkeit der obersten Landesbehörde erfordern.</w:t>
      </w:r>
    </w:p>
    <w:p>
      <w:r>
        <w:t xml:space="preserve">(2) Wenn das Land oder die nach Landesrecht zuständige Stelle Bundesrecht oder Recht der Europäischen Gemeinschaften durchzuführen hat, so bestimmt die Landesregierung durch Rechtsverordnung die zuständige Stelle.</w:t>
      </w:r>
    </w:p>
    <w:p>
      <w:r>
        <w:t xml:space="preserve">(3) Wenn nach Bundesrecht eine höhere Verwaltungsbehörde, eine Mittelbehörde oder eine untere Verwaltungsbehörde zuständig ist, so bestimmt die Landesregierung durch Rechtsverordnung die zuständige Stelle.</w:t>
      </w:r>
    </w:p>
    <w:p>
      <w:r>
        <w:t xml:space="preserve">(4) Die Landesregierung kann die Ermächtigung zum Erlass von Rechtsverordnungen nach den Absätzen 2 und 3 durch Rechtsverordnung auf ihr jeweils zuständiges Mitglied übertragen.</w:t>
      </w:r>
    </w:p>
    <w:p>
      <w:r>
        <w:rPr>
          <w:color w:val="555555"/>
          <w:sz w:val="17"/>
        </w:rPr>
        <w:t xml:space="preserve">Zitiervorschlag: § 6 LOG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