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LOG (Brandenburg) — Organisationsziele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Organisation der Landesverwaltung hat unter Beachtung des Rechtsstaatsprinzips sicherzustellen, dass</w:t>
      </w:r>
    </w:p>
    <w:p>
      <w:r>
        <w:t xml:space="preserve">die Verwaltung dienstleistungsorientiert und bürgernah handelt,</w:t>
      </w:r>
    </w:p>
    <w:p>
      <w:r>
        <w:t xml:space="preserve">die gestellten Aufgaben mit geringstmöglichem Aufwand erfüllt und mit den vorhandenen Mitteln ein bestmögliches Ergebnis erzielt wird,</w:t>
      </w:r>
    </w:p>
    <w:p>
      <w:r>
        <w:t xml:space="preserve">die außerhalb der Verwaltung Stehenden bei der Erfüllung öffentlicher Aufgaben mitwirken können,</w:t>
      </w:r>
    </w:p>
    <w:p>
      <w:r>
        <w:t xml:space="preserve">die Eigenverantwortung der Beschäftigten gestärkt sowie</w:t>
      </w:r>
    </w:p>
    <w:p>
      <w:r>
        <w:t xml:space="preserve">die Gleichstellung von Männern und Frauen verwirklicht wird.</w:t>
      </w:r>
    </w:p>
    <w:p>
      <w:r>
        <w:rPr>
          <w:color w:val="555555"/>
          <w:sz w:val="17"/>
        </w:rPr>
        <w:t xml:space="preserve">Zitiervorschlag: § 2 LOG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