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LOG (Brandenburg) — Beliehene</w:t>
      </w:r>
    </w:p>
    <w:p>
      <w:r>
        <w:rPr>
          <w:color w:val="555555"/>
          <w:sz w:val="18"/>
        </w:rPr>
        <w:t xml:space="preserve">Landesorganisationsgesetz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Natürlichen und juristischen Personen des Privatrechts können Hoheitsaufgaben des Landes zur Erledigung in den Handlungsformen des öffentlichen Rechts nur durch Gesetz oder aufgrund eines Gesetzes übertragen werden.</w:t>
      </w:r>
    </w:p>
    <w:p>
      <w:r>
        <w:t xml:space="preserve">(2) In dem Beleihungsakt sind die dem beliehenen Rechtsträger übertragenen Aufgaben, die zu ihrer Durchführung erforderlichen Befugnisse, die mit der Beleihung verbundenen besonderen Pflichten und die staatliche Aufsicht zu bestimmen.</w:t>
      </w:r>
    </w:p>
    <w:p>
      <w:r>
        <w:rPr>
          <w:color w:val="555555"/>
          <w:sz w:val="17"/>
        </w:rPr>
        <w:t xml:space="preserve">Zitiervorschlag: § 16 LOG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