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LOG (Brandenburg) — Anstalten und Stiftungen des öffentlichen Rechts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§§ 13 und 14 gelten entsprechend für Anstalten und Stiftungen des öffentlichen Rechts mit eigener Rechtspersönlichkeit.</w:t>
      </w:r>
    </w:p>
    <w:p>
      <w:r>
        <w:t xml:space="preserve">(2) Die rechtliche Bestandskraft von Stiftungen öffentlichen Rechts, die auf der Grundlage des Stiftungsgesetzes vom 13. September 1990 ( GBl. I S. 1483) entstanden sind, bleibt unberührt. Soweit die Stiftungen durch Rechtsverordnung errichtet wurden, wird die Landesregierung ermächtigt, diese durch Rechtsverordnung nach Anhörung des dafür jeweils zuständigen Landtagsausschusses zu ändern.</w:t>
      </w:r>
    </w:p>
    <w:p>
      <w:r>
        <w:rPr>
          <w:color w:val="555555"/>
          <w:sz w:val="17"/>
        </w:rPr>
        <w:t xml:space="preserve">Zitiervorschlag: § 15 LOG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