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LOG (Brandenburg) — Aufsicht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Aufsicht über die Körperschaften erstreckt sich darauf, dass sie ihre Aufgaben im Einklang mit dem geltenden Recht erfüllen (allgemeine Körperschaftsaufsicht); die §§ 111 bis 117 der Kommunalverfassung des Landes Brandenburg gelten entsprechend. Abweichende gesetzliche Vorschriften bleiben unberührt.</w:t>
      </w:r>
    </w:p>
    <w:p>
      <w:r>
        <w:t xml:space="preserve">(2) Soweit Körperschaften ihre Aufgaben nach Weisung erfüllen, richtet sich die Aufsicht nach den hierfür geltenden gesetzlichen Vorschriften (besondere Körperschaftsaufsicht).</w:t>
      </w:r>
    </w:p>
    <w:p>
      <w:r>
        <w:rPr>
          <w:color w:val="555555"/>
          <w:sz w:val="17"/>
        </w:rPr>
        <w:t xml:space="preserve">Zitiervorschlag: § 14 LOG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