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LOG (Brandenburg) — Sonstige Körperschaften des öffentlichen Rechts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Sonstige Körperschaften des öffentlichen Rechts mit eigener Rechtspersönlichkeit (Körperschaften) können nur durch Gesetz oder aufgrund eines Gesetzes errichtet werden.</w:t>
      </w:r>
    </w:p>
    <w:p>
      <w:r>
        <w:t xml:space="preserve">(2) Die Körperschaften wirken bei der Landesverwaltung nach Maßgabe der hierfür geltenden gesetzlichen Vorschriften mit.</w:t>
      </w:r>
    </w:p>
    <w:p>
      <w:r>
        <w:t xml:space="preserve">(3) Körperschaften, ihren Organen oder ihren leitenden Beamten oder Angestellten können Hoheitsaufgaben des Landes nur durch Gesetz oder aufgrund eines Gesetzes übertragen werden, das die Übertragung auf Körperschaften ausdrücklich vorsieht oder zulässt.</w:t>
      </w:r>
    </w:p>
    <w:p>
      <w:r>
        <w:rPr>
          <w:color w:val="555555"/>
          <w:sz w:val="17"/>
        </w:rPr>
        <w:t xml:space="preserve">Zitiervorschlag: § 13 LOG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