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LOG NRW (Nordrhein-Westfalen)</w:t>
      </w:r>
    </w:p>
    <w:p>
      <w:r>
        <w:rPr>
          <w:color w:val="555555"/>
          <w:sz w:val="18"/>
        </w:rPr>
        <w:t xml:space="preserve">Landesorganisationsgesetz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redaktioneller Hinweis: (Artikel 5 des Gesetzes vom 29. März 2007 (GV. NRW. S. 140), in Kraft getreten am 1. Juli 2007)</w:t>
      </w:r>
    </w:p>
    <w:p>
      <w:r>
        <w:t xml:space="preserve">Übergangsregelung zu Artikel 1 und 2</w:t>
      </w:r>
    </w:p>
    <w:p>
      <w:r>
        <w:t xml:space="preserve">Mit In-Kraft-Treten dieses Gesetzes sind die Beschäftigten des „Instituts für Aus- und Fortbildung der Polizei NRW“ auf das „Landesamt für Ausbildung, Fortbildung und Personalangelegenheiten der Polizei“ und die Beschäftigten der „Zentralen Polizeitechnischen Dienste“ auf das „Landesamt für Zentrale Polizeiliche Dienste“ übergeleitet.</w:t>
      </w:r>
    </w:p>
    <w:p>
      <w:r>
        <w:rPr>
          <w:color w:val="555555"/>
          <w:sz w:val="17"/>
        </w:rPr>
        <w:t xml:space="preserve">Zitiervorschlag: Schlussformel LOG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https://recht.nulegal.eu/gesetze/LOG%20NRW/schlussformel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