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LOG NRW (Nordrhein-Westfalen)</w:t>
      </w:r>
    </w:p>
    <w:p>
      <w:r>
        <w:rPr>
          <w:color w:val="555555"/>
          <w:sz w:val="18"/>
        </w:rPr>
        <w:t xml:space="preserve">Landesorganisationsgesetz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gilt für die Behörden und Einrichtungen des Landes. Für die Gemeinden und Gemeindeverbände gilt das Gesetz nur, soweit es dies bestimmt. Unter der gleichen Voraussetzung gilt es auch für die der Aufsicht des Landes unterstehenden sonstigen Körperschaften sowie Anstalten und Stiftungen des öffentlichen Rechts mit eigener Rechtspersönlichkeit.</w:t>
      </w:r>
    </w:p>
    <w:p>
      <w:r>
        <w:t xml:space="preserve">(2) Dieses Gesetz gilt nicht</w:t>
      </w:r>
    </w:p>
    <w:p>
      <w:r>
        <w:t xml:space="preserve">a) für die Verwaltung des Landtags und den Landesrechnungshof, unbeschadet ihrer Stellung als oberste Landesbehörden, sowie für die Staatlichen Rechnungsprüfungsämter,</w:t>
      </w:r>
    </w:p>
    <w:p>
      <w:r>
        <w:t xml:space="preserve">b) für den Landesbeauftragten für den Datenschutz,</w:t>
      </w:r>
    </w:p>
    <w:p>
      <w:r>
        <w:t xml:space="preserve">c) für die Organe der Rechtspflege (Gerichte, Staatsanwaltschaften, Vollzugsanstalten und Gnadenstellen),</w:t>
      </w:r>
    </w:p>
    <w:p>
      <w:r>
        <w:t xml:space="preserve">d) für die staatlichen wissenschaftlichen Hochschulen, Kunsthochschulen und Fachhochschulen gemäß § 1 Abs. 2 des Fachhochschulgesetzes.</w:t>
      </w:r>
    </w:p>
    <w:p>
      <w:r>
        <w:t xml:space="preserve">(3) Dieses Gesetz gilt nicht für Kirchen und Religionsgemeinschaften und die ihnen zugehörigen Körperschaften, Anstalten und Stiftungen des öffentlichen Rechts.</w:t>
      </w:r>
    </w:p>
    <w:p>
      <w:r>
        <w:rPr>
          <w:color w:val="555555"/>
          <w:sz w:val="17"/>
        </w:rPr>
        <w:t xml:space="preserve">Zitiervorschlag: § 1 LOG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https://recht.nulegal.eu/gesetze/LOG%20NRW/1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