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LNpV (Brandenburg) — Besetzung der Vergabekammern</w:t>
      </w:r>
    </w:p>
    <w:p>
      <w:r>
        <w:rPr>
          <w:color w:val="555555"/>
          <w:sz w:val="18"/>
        </w:rPr>
        <w:t xml:space="preserve">Landesnachprüfungsverordnung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für Wirtschaft zuständige Ministerium bestellt die Vorsitzenden der Vergabekammern, die hauptamtlichen Beisitzerinnen oder Beisitzer und auf Vorschlag der Handwerkskammern, der Industrie- und Handelskammern, der Brandenburgischen Ingenieurkammer, der Brandenburgischen Architektenkammer und der kommunalen Spitzenverbände im Land Brandenburg die ehrenamtlichen Beisitzerinnen oder Beisitzer und deren Stellvertreterinnen oder Stellvertreter.</w:t>
      </w:r>
    </w:p>
    <w:p>
      <w:r>
        <w:t xml:space="preserve">(2) Im Übrigen gilt § 157 des Gesetzes gegen Wettbewerbsbeschränkungen für die Vergabekammern des Landes Brandenburg entsprechend.</w:t>
      </w:r>
    </w:p>
    <w:p>
      <w:r>
        <w:rPr>
          <w:color w:val="555555"/>
          <w:sz w:val="17"/>
        </w:rPr>
        <w:t xml:space="preserve">Zitiervorschlag: § 3 LNpV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https://recht.nulegal.eu/gesetze/LNpV/3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