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LNatSchG NRW (Nordrhein-Westfalen) — Verletzung von Verfahrens- und Formvorschriften, Mängel der Abwägung, Behebungvon Fehlern</w:t>
      </w:r>
    </w:p>
    <w:p>
      <w:r>
        <w:rPr>
          <w:color w:val="555555"/>
          <w:sz w:val="18"/>
        </w:rPr>
        <w:t xml:space="preserve">Landesnaturschutzgesetz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Verletzung von Verfahrens- oder Formvorschriften dieses Gesetzes ist für die Rechtswirksamkeit des Landschaftsplans nur beachtlich, wenn</w:t>
      </w:r>
    </w:p>
    <w:p>
      <w:r>
        <w:t xml:space="preserve">1. die Vorschriften über die Beteiligung der Träger öffentlicher Belange und die öffentliche Auslegung nach § 15, § 17 oder § 20 Absatz 2 Satz 2 verletzt worden sind; unbeachtlich ist dagegen, wenn bei Anwendung der Vorschriften einzelne berührte Träger öffentlicher Belange nicht beteiligt oder bei Anwendung des § 17 Absatz 2 Satz 3 oder des § 20 Absatz 2 Satz 1 die Voraussetzungen für die Durchführung der Beteiligung nach diesen Vorschriften verkannt worden sind oder</w:t>
      </w:r>
    </w:p>
    <w:p>
      <w:r>
        <w:t xml:space="preserve">2. ein Beschluss des Trägers der Landschaftsplanung nicht gefasst, ein Anzeigeverfahren nicht durchgeführt oder die Durchführung des Anzeigeverfahrens nicht ortsüblich bekannt gemacht worden ist.</w:t>
      </w:r>
    </w:p>
    <w:p>
      <w:r>
        <w:t xml:space="preserve">(2) Mängel im Abwägungsvorgang sind für die Rechtswirksamkeit des Landschaftsplans nur erheblich, wenn sie offensichtlich und auf das Abwägungsergebnis von Einfluss gewesen sind. Für das Abwägungsergebnis ist die Sach- und Rechtslage im Zeitpunkt der Beschlussfassung über den Landschaftsplan maßgebend.</w:t>
      </w:r>
    </w:p>
    <w:p>
      <w:r>
        <w:t xml:space="preserve">(3) Unbeachtlich für die Rechtswirksamkeit des Landschaftsplans sind</w:t>
      </w:r>
    </w:p>
    <w:p>
      <w:r>
        <w:t xml:space="preserve">1. eine Verletzung der in Absatz 1 Satz 1 Nummer 1 bezeichneten Verfahrens- und Formvorschriften und</w:t>
      </w:r>
    </w:p>
    <w:p>
      <w:r>
        <w:t xml:space="preserve">2. Mängel des Abwägungsergebnisses gemäß Absatz 2,</w:t>
      </w:r>
    </w:p>
    <w:p>
      <w:r>
        <w:t xml:space="preserve">wenn sie nicht innerhalb eines Jahres seit Bekanntmachung des Landschaftsplans schriftlich gegenüber dem Träger der Landschaftsplanung geltend gemacht worden sind; der Sachverhalt, der die Verletzung oder den Mangel begründen soll, ist darzulegen.</w:t>
      </w:r>
    </w:p>
    <w:p>
      <w:r>
        <w:t xml:space="preserve">(4) In der ortsüblichen Bekanntmachung der Durchführung des Anzeigeverfahrens des Landschaftsplans ist auf die Voraussetzungen für die Geltendmachung der Verletzung von Verfahrens- oder Formvorschriften und von Mängeln des Abwägungsergebnisses sowie auf die Rechtsfolgen (Absatz 3) hinzuweisen.</w:t>
      </w:r>
    </w:p>
    <w:p>
      <w:r>
        <w:t xml:space="preserve">(5) Der Träger der Landschaftsplanung kann einen Fehler, der sich aus der Verletzung der in Absatz 1 bezeichneten Vorschriften ergibt, oder einen sonstigen Verfahrens- oder Formfehler beheben; dabei kann der Träger der Landschaftsplanung den Landschaftsplan durch Wiederholung des nachfolgenden Verfahrens in Kraft setzen. Der Landschaftsplan kann auch mit Rückwirkung erneut in Kraft gesetzt werden.</w:t>
      </w:r>
    </w:p>
    <w:p>
      <w:r>
        <w:t xml:space="preserve">Abschnitt 3</w:t>
      </w:r>
    </w:p>
    <w:p>
      <w:r>
        <w:t xml:space="preserve">Wirkung und Durchführung des Landschaftsplans</w:t>
      </w:r>
    </w:p>
    <w:p>
      <w:r>
        <w:rPr>
          <w:color w:val="555555"/>
          <w:sz w:val="17"/>
        </w:rPr>
        <w:t xml:space="preserve">Zitiervorschlag: § 21 LNatSchG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https://recht.nulegal.eu/gesetze/LNatSchG%20NRW/21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