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LNGV — Buchungsauflagen für langfristig Buchende</w:t>
      </w:r>
    </w:p>
    <w:p>
      <w:r>
        <w:rPr>
          <w:color w:val="555555"/>
          <w:sz w:val="18"/>
        </w:rPr>
        <w:t xml:space="preserve">LNG-Verordnung</w:t>
      </w:r>
    </w:p>
    <w:p>
      <w:r>
        <w:rPr>
          <w:color w:val="555555"/>
          <w:sz w:val="18"/>
        </w:rPr>
        <w:t xml:space="preserve">Stand: 19.11.2022 (konsolidierte Textfassung, kein amtliches Inkrafttretensdatum)</w:t>
      </w:r>
    </w:p>
    <w:p>
      <w:r>
        <w:t xml:space="preserve">(1) Dem Betreiber einer LNG-Anlage steht es frei, für die langfristige Vergabe von Kapazitäten unterschiedliche Produkte anzubieten. Alle angebotenen Produkte müssen dem Grundsatz der Transparenz und Diskriminierungsfreiheit unterliegen.</w:t>
      </w:r>
    </w:p>
    <w:p>
      <w:r>
        <w:t xml:space="preserve">(2) Der Betreiber einer LNG-Anlage hat die Jahresdurchsatzkapazität seiner Anlage zu bestimmen.</w:t>
      </w:r>
    </w:p>
    <w:p>
      <w:r>
        <w:t xml:space="preserve">(3) Die von dem Betreiber einer LNG-Anlage festzulegende Mindestbuchungshöhe darf maximal 15 Prozent der insgesamt zu vergebenden Jahresdurchsatzkapazität betragen.</w:t>
      </w:r>
    </w:p>
    <w:p>
      <w:r>
        <w:t xml:space="preserve">(4) Die von dem Betreiber einer LNG-Anlage festzulegende Mindestbuchungsdauer darf maximal zehn Jahre betragen.</w:t>
      </w:r>
    </w:p>
    <w:p>
      <w:r>
        <w:t xml:space="preserve">(5) Für 20 Prozent der langfristig zu vergebenden Jahresdurchsatzkapazität darf die Höchstbuchungsdauer maximal 15 Jahre betragen.</w:t>
      </w:r>
    </w:p>
    <w:p>
      <w:r>
        <w:rPr>
          <w:color w:val="555555"/>
          <w:sz w:val="17"/>
        </w:rPr>
        <w:t xml:space="preserve">Zitiervorschlag: § 5 LNGV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https://recht.nulegal.eu/gesetze/LNGV/5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