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LNGV — Kalkulatorische Eigenkapitalverzinsung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Die Verzinsung des vom Betreiber einer LNG-Anlage eingesetzten Eigenkapitals erfolgt im Wege einer kalkulatorischen Eigenkapitalverzinsung auf Grundlage des betriebsnotwendigen Eigenkapitals. Das betriebsnotwendige Eigenkapital ergibt sich aus der Summe</w:t>
      </w:r>
    </w:p>
    <w:p>
      <w:pPr>
        <w:ind w:left="420"/>
      </w:pPr>
      <w:r>
        <w:t xml:space="preserve">1. des kalkulatorischen Restwertes des Sachanlagevermögens der betriebsnotwendigen Anlagen der LNG-Anlage bewertet zu historischen Anschaffungs- und Herstellungskosten und</w:t>
      </w:r>
    </w:p>
    <w:p>
      <w:pPr>
        <w:ind w:left="420"/>
      </w:pPr>
      <w:r>
        <w:t xml:space="preserve">2. der Bilanzwerte der betriebsnotwendigen Finanzanlagen und der Bilanzwerte des betriebsnotwendigen Umlaufvermögens unter Abzug des Steueranteils der Sonderposten mit Rücklageanteil</w:t>
      </w:r>
    </w:p>
    <w:p>
      <w:r>
        <w:t xml:space="preserve">sowie unter Abzug des Abzugskapitals und des verzinslichen Fremdkapitals. Grundstücke sind zu Anschaffungskosten anzusetzen. Es ist jeweils der Mittelwert aus Jahresanfangs- und Jahresendbestand anzusetzen. Soweit das nach den Sätzen 2 und 3 ermittelte betriebsnotwendige Eigenkapital einen Anteil von 40 Prozent des sich aus der Summe der Werte nach den Sätzen 2 und 3 ergebenden betriebsnotwendigen Vermögens übersteigt, ist der übersteigende Anteil dieses Eigenkapitals nach Absatz 4 zu verzinsen.</w:t>
      </w:r>
    </w:p>
    <w:p>
      <w:r>
        <w:t xml:space="preserve">(2) Als Abzugskapital ist das zinslos zur Verfügung stehende Kapital zu behandeln. Es muss jeweils der Mittelwert aus Jahresanfangs- und Jahresendbestand der folgenden Positionen angesetzt werden:</w:t>
      </w:r>
    </w:p>
    <w:p>
      <w:pPr>
        <w:ind w:left="420"/>
      </w:pPr>
      <w:r>
        <w:t xml:space="preserve">1. Rückstellungen,</w:t>
      </w:r>
    </w:p>
    <w:p>
      <w:pPr>
        <w:ind w:left="420"/>
      </w:pPr>
      <w:r>
        <w:t xml:space="preserve">2. erhaltene Vorauszahlungen und Anzahlungen von Kunden,</w:t>
      </w:r>
    </w:p>
    <w:p>
      <w:pPr>
        <w:ind w:left="420"/>
      </w:pPr>
      <w:r>
        <w:t xml:space="preserve">3. unverzinsliche Verbindlichkeiten aus Lieferungen und Leistungen,</w:t>
      </w:r>
    </w:p>
    <w:p>
      <w:pPr>
        <w:ind w:left="420"/>
      </w:pPr>
      <w:r>
        <w:t xml:space="preserve">4. sonstige Verbindlichkeiten, soweit die Mittel dem Betreiber der LNG-Anlage zinslos zur Verfügung stehen, und</w:t>
      </w:r>
    </w:p>
    <w:p>
      <w:pPr>
        <w:ind w:left="420"/>
      </w:pPr>
      <w:r>
        <w:t xml:space="preserve">5. Zuschüsse.</w:t>
      </w:r>
    </w:p>
    <w:p>
      <w:r>
        <w:t xml:space="preserve">(3) Der auf das betriebsnotwendige Eigenkapital des Betreibers der LNG-Anlage anzuwendende Eigenkapitalzinssatz beträgt neun Prozent vor Steuern. Der Zinssatz nach Satz 1 ist anzuwenden, solange und soweit die Bundesnetzagentur nicht nach § 26 Absatz 1 Satz 2 Nummer 3 des Energiewirtschaftsgesetzes etwas Abweichendes festgelegt hat, jedenfalls aber bis zum Ablauf des 31. Dezember 2027.</w:t>
      </w:r>
    </w:p>
    <w:p>
      <w:r>
        <w:t xml:space="preserve">(4) Der Zinssatz für den die Eigenkapitalquote übersteigenden Anteil des Eigenkapitals nach Absatz 1 Satz 6 bestimmt sich als arithmetisches Mittel aus dem auf das letzte abgeschlossene Kalenderjahr bezogenen Durchschnitt der folgenden von der Deutschen Bundesbank veröffentlichten Umlaufsrenditen und Zinsreihen:</w:t>
      </w:r>
    </w:p>
    <w:p>
      <w:pPr>
        <w:ind w:left="420"/>
      </w:pPr>
      <w:r>
        <w:t xml:space="preserve">1. Umlaufsrenditen inländischer Inhaberschuldverschreibungen – Anleihen von Unternehmen und</w:t>
      </w:r>
    </w:p>
    <w:p>
      <w:pPr>
        <w:ind w:left="420"/>
      </w:pPr>
      <w:r>
        <w:t xml:space="preserve">2. Kredite an nichtfinanzielle Kapitalgesellschaften über eine Million Euro bei einer anfänglichen Zinsbindung mit einer Laufzeit von über einem Jahr bis zu fünf Jahren.</w:t>
      </w:r>
    </w:p>
    <w:p>
      <w:r>
        <w:t xml:space="preserve">Weitere Zuschläge sind unzulässig.</w:t>
      </w:r>
    </w:p>
    <w:p>
      <w:r>
        <w:rPr>
          <w:color w:val="555555"/>
          <w:sz w:val="17"/>
        </w:rPr>
        <w:t xml:space="preserve">Zitiervorschlag: § 18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