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LNGV — Aufwandsgleiche Kostenpositionen</w:t>
      </w:r>
    </w:p>
    <w:p>
      <w:r>
        <w:rPr>
          <w:color w:val="555555"/>
          <w:sz w:val="18"/>
        </w:rPr>
        <w:t xml:space="preserve">LNG-Verordnung</w:t>
      </w:r>
    </w:p>
    <w:p>
      <w:r>
        <w:rPr>
          <w:color w:val="555555"/>
          <w:sz w:val="18"/>
        </w:rPr>
        <w:t xml:space="preserve">Stand: 19.11.2022 (konsolidierte Textfassung, kein amtliches Inkrafttretensdatum)</w:t>
      </w:r>
    </w:p>
    <w:p>
      <w:r>
        <w:t xml:space="preserve">(1) Aufwandsgleiche Kostenpositionen müssen den nach § 6b Absatz 3 des Energiewirtschaftsgesetzes erstellten Gewinn- und Verlustrechnungen für den Betrieb der LNG-Anlage entnommen und nach Maßgabe des § 15 Absatz 1 bei der Bestimmung der Kosten berücksichtigt werden.</w:t>
      </w:r>
    </w:p>
    <w:p>
      <w:r>
        <w:t xml:space="preserve">(2) Fremdkapitalzinsen müssen in ihrer tatsächlichen Höhe eingestellt werden, höchstens jedoch in der Höhe kapitalmarktüblicher Zinsen für vergleichbare Kreditaufnahmen.</w:t>
      </w:r>
    </w:p>
    <w:p>
      <w:r>
        <w:rPr>
          <w:color w:val="555555"/>
          <w:sz w:val="17"/>
        </w:rPr>
        <w:t xml:space="preserve">Zitiervorschlag: § 16 LNGV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https://recht.nulegal.eu/gesetze/LNGV/16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