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LNGV — Grundsätze zur Bestimmung der Entgelte für den Zugang zu LNG-Anlagen</w:t>
      </w:r>
    </w:p>
    <w:p>
      <w:r>
        <w:rPr>
          <w:color w:val="555555"/>
          <w:sz w:val="18"/>
        </w:rPr>
        <w:t xml:space="preserve">LNG-Verordnung</w:t>
      </w:r>
    </w:p>
    <w:p>
      <w:r>
        <w:rPr>
          <w:color w:val="555555"/>
          <w:sz w:val="18"/>
        </w:rPr>
        <w:t xml:space="preserve">Stand: 19.11.2022 (konsolidierte Textfassung, kein amtliches Inkrafttretensdatum)</w:t>
      </w:r>
    </w:p>
    <w:p>
      <w:r>
        <w:t xml:space="preserve">(1) Für die Genehmigung der Entgelte für den Zugang zu LNG-Anlagen nach § 23a Absatz 1 des Energiewirtschaftsgesetzes sind die nachfolgenden Bestimmungen anzuwenden.</w:t>
      </w:r>
    </w:p>
    <w:p>
      <w:r>
        <w:t xml:space="preserve">(2) Der Betreiber der LNG-Anlage hat im Rahmen der Ermittlung der Entgelte sicherzustellen, dass sein Entgeltsystem den Maßgaben des § 21 des Energiewirtschaftsgesetzes entspricht und geeignet ist, die nach den §§ 15 bis 21 ermittelten Kosten zu decken. Die Kosten sind jährlich anhand der zu erwartenden Kosten für das folgende Kalenderjahr sowie der Differenz zwischen den erzielten Erlösen und den tatsächlichen Kosten aus Vorjahren nach der in § 21 Absatz 1 beschriebenen Methodik zu ermitteln. Der bei Anwendung des Entgeltsystems prognostizierte Gesamterlös eines Betreibers einer LNG-Anlage soll der Summe seiner Kosten nach Satz 2 entsprechen. Bestandteil der Genehmigung ist auch der Startpreis nach § 9 Absatz 4 Satz 6 Nummer 6.</w:t>
      </w:r>
    </w:p>
    <w:p>
      <w:r>
        <w:t xml:space="preserve">(3) Die Verprobung nach Absatz 2 Satz 1 und 3 muss vom Betreiber der LNG-Anlage in einer für sachkundige Dritte nachvollziehbaren und vollständigen Weise schriftlich oder elektronisch dokumentiert und der Bundesnetzagentur auf Anforderung schriftlich oder elektronisch mitgeteilt werden.</w:t>
      </w:r>
    </w:p>
    <w:p>
      <w:r>
        <w:t xml:space="preserve">(4) Die Anreizregulierungsverordnung vom 29. Oktober 2007 (BGBl. I S. 2529), die zuletzt durch Artikel 8 des Gesetzes vom 20. Juli 2022 (BGBl. I S. 1237) geändert worden ist, sowie die Gasnetzentgeltverordnung vom 25. Juli 2005 (BGBl. I S. 2197), die zuletzt durch Artikel 3 der Verordnung vom 27. Juli 2021 (BGBl. I S. 3229) geändert worden ist, sind auf Betreiber von LNG-Anlagen nicht anzuwenden.</w:t>
      </w:r>
    </w:p>
    <w:p>
      <w:r>
        <w:rPr>
          <w:color w:val="555555"/>
          <w:sz w:val="17"/>
        </w:rPr>
        <w:t xml:space="preserve">Zitiervorschlag: § 14 LNGV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https://recht.nulegal.eu/gesetze/LNGV/14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