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LNGG — Beschleunigte Vergabe- und Nachprüfungsverfahren</w:t>
      </w:r>
    </w:p>
    <w:p>
      <w:r>
        <w:rPr>
          <w:color w:val="555555"/>
          <w:sz w:val="18"/>
        </w:rPr>
        <w:t xml:space="preserve">LNG-Beschleunigungsgesetz</w:t>
      </w:r>
    </w:p>
    <w:p>
      <w:r>
        <w:rPr>
          <w:color w:val="555555"/>
          <w:sz w:val="18"/>
        </w:rPr>
        <w:t xml:space="preserve">Stand: 01.07.2026 (konsolidierte Textfassung, kein amtliches Inkrafttretensdatum)</w:t>
      </w:r>
    </w:p>
    <w:p>
      <w:r>
        <w:t xml:space="preserve">(1) (außer Kraft)</w:t>
      </w:r>
    </w:p>
    <w:p>
      <w:r>
        <w:t xml:space="preserve">(2) Für Nachprüfungsverfahren vor der Vergabekammer sind für Vorhaben nach § 2 dieses Gesetzes in der vor dem 1. Juli 2025 geltenden Fassung die vergaberechtlichen Vorschriften mit folgenden Maßgaben anzuwenden:</w:t>
      </w:r>
    </w:p>
    <w:p>
      <w:pPr>
        <w:ind w:left="420"/>
      </w:pPr>
      <w:r>
        <w:t xml:space="preserve">1. Ergänzend zu § 166 Absatz 1 Satz 3 des Gesetzes gegen Wettbewerbsbeschränkungen kann auch nach Lage der Akten entschieden werden, soweit dies der Beschleunigung dient.</w:t>
      </w:r>
    </w:p>
    <w:p>
      <w:pPr>
        <w:ind w:left="420"/>
      </w:pPr>
      <w:r>
        <w:t xml:space="preserve">2. Abweichend von § 167 Absatz 1 Satz 1 des Gesetzes gegen Wettbewerbsbeschränkungen trifft und begründet die Vergabekammer ihre Entscheidung innerhalb einer Frist von drei Wochen ab Eingang des Nachprüfungsantrags. Abweichend von § 167 Absatz 1 Satz 2 und 3 des Gesetzes gegen Wettbewerbsbeschränkungen kann die Entscheidungsfrist von drei Wochen nur einmalig und höchstens um zwei Wochen verlängert werden.</w:t>
      </w:r>
    </w:p>
    <w:p>
      <w:pPr>
        <w:ind w:left="420"/>
      </w:pPr>
      <w:r>
        <w:t xml:space="preserve">3. Bei der Auswahl der geeigneten Maßnahmen nach § 168 Absatz 1 Satz 1 des Gesetzes gegen Wettbewerbsbeschränkungen hat die Vergabekammer auch den Zweck nach § 1 sowie das besondere Interesse nach § 3 zu berücksichtigen.</w:t>
      </w:r>
    </w:p>
    <w:p>
      <w:pPr>
        <w:ind w:left="420"/>
      </w:pPr>
      <w:r>
        <w:t xml:space="preserve">4. Bei der Abwägung nach § 169 Absatz 2 Satz 1 des Gesetzes gegen Wettbewerbsbeschränkungen über die vorzeitige Gestattung des Zuschlags sind zusätzlich der Zweck nach § 1 sowie das besondere Interesse nach § 3 zu berücksichtigen. Das besondere Interesse überwiegt in der Regel. Die Entscheidung ist unverzüglich, spätestens innerhalb von einer Woche nach Eingang des Antrags auf Voraberteilung des Zuschlags zu treffen und zu begründen. Der Zuschlag kann abweichend von § 169 Absatz 2 Satz 1 des Gesetzes gegen Wettbewerbsbeschränkungen nach der Gestattung unmittelbar erteilt werden, sofern die Wartepflicht nach § 134 Absatz 2 des Gesetzes gegen Wettbewerbsbeschränkungen nicht noch läuft. Bei Entscheidungen nach § 169 Absatz 2 Satz 6 und 7 und Absatz 3 des Gesetzes gegen Wettbewerbsbeschränkungen ist auch der Zweck nach § 1 sowie das besondere Interesse nach § 3 zu berücksichtigen, das in der Regel überwiegt.</w:t>
      </w:r>
    </w:p>
    <w:p>
      <w:pPr>
        <w:ind w:left="420"/>
      </w:pPr>
      <w:r>
        <w:t xml:space="preserve">5. Stellt die Vergabekammer im Nachprüfungsverfahren einen Verstoß des Auftraggebers im Sinne des § 135 Absatz 1 Nummer 1 oder 2 des Gesetzes gegen Wettbewerbsbeschränkungen fest, hat sie den Absatz 1 Nummer 4 bis 6 zu beachten.</w:t>
      </w:r>
    </w:p>
    <w:p>
      <w:r>
        <w:t xml:space="preserve">(3) Für die sofortige Beschwerde sind für Vorhaben nach § 2 dieses Gesetzes in der vor dem 1. Juli 2025 geltenden Fassung die vergaberechtlichen Vorschriften mit folgenden Maßgaben anzuwenden:</w:t>
      </w:r>
    </w:p>
    <w:p>
      <w:pPr>
        <w:ind w:left="420"/>
      </w:pPr>
      <w:r>
        <w:t xml:space="preserve">1. § 171 Absatz 2 des Gesetzes gegen Wettbewerbsbeschränkungen ist mit der Maßgabe anzuwenden, dass es auf die Frist in ihrer Ausgestaltung nach Absatz 2 Nummer 2 ankommt.</w:t>
      </w:r>
    </w:p>
    <w:p>
      <w:pPr>
        <w:ind w:left="420"/>
      </w:pPr>
      <w:r>
        <w:t xml:space="preserve">2. Abweichend von § 172 Absatz 1 des Gesetzes gegen Wettbewerbsbeschränkungen ist die sofortige Beschwerde innerhalb von einer Notfrist von einer Woche einzulegen.</w:t>
      </w:r>
    </w:p>
    <w:p>
      <w:pPr>
        <w:ind w:left="420"/>
      </w:pPr>
      <w:r>
        <w:t xml:space="preserve">3. Bei der Abwägung nach § 176 Absatz 1 Satz 1 des Gesetzes gegen Wettbewerbsbeschränkungen sind zusätzlich der Zweck nach § 1 sowie das besondere Interesse nach § 3 zu berücksichtigen, das in der Regel überwiegt. Abweichend von § 176 Absatz 3 Satz 1 des Gesetzes gegen Wettbewerbsbeschränkungen ist die Vorabentscheidung über den Zuschlag längstens innerhalb von einer Woche nach Eingang des Antrags zu treffen und im Fall einer ausnahmsweisen Verlängerung der Zweck nach § 1 sowie das besondere Interesse nach § 3 zu berücksichtigen, das in der Regel überwiegt.</w:t>
      </w:r>
    </w:p>
    <w:p>
      <w:pPr>
        <w:ind w:left="420"/>
      </w:pPr>
      <w:r>
        <w:t xml:space="preserve">4. Ergänzend zu § 175 Absatz 2 in Verbindung mit § 65 Absatz 1 des Gesetzes gegen Wettbewerbsbeschränkungen kann das Gericht im Ausnahmefall nach Lage der Akten entscheiden, insbesondere wenn dies der Beschleunigung dient und kein unmittelbarer Eindruck der Parteien oder direkter Austausch des tatsächlichen und rechtlichen Vortrags erforderlich ist.</w:t>
      </w:r>
    </w:p>
    <w:p>
      <w:pPr>
        <w:ind w:left="420"/>
      </w:pPr>
      <w:r>
        <w:t xml:space="preserve">5. § 178 des Gesetzes gegen Wettbewerbsbeschränkungen ist mit der Maßgabe anzuwenden, dass die Beschwerdeentscheidung innerhalb einer Frist von fünf Wochen ab Eingang der sofortigen Beschwerde zu treffen und zu begründen ist. Bei besonderen tatsächlichen oder rechtlichen Schwierigkeiten kann der Vorsitzende im Ausnahmefall die Frist durch Mitteilung an die Beteiligten einmalig um höchstens zwei Wochen verlängern. Abweichend von § 178 Satz 2 des Gesetzes gegen Wettbewerbsbeschränkungen entscheidet das Gericht stets in der Sache selbst.</w:t>
      </w:r>
    </w:p>
    <w:p>
      <w:pPr>
        <w:ind w:left="420"/>
      </w:pPr>
      <w:r>
        <w:t xml:space="preserve">6. Für das Beschwerdegericht gilt Absatz 2 Nummer 5 entsprechend.</w:t>
      </w:r>
    </w:p>
    <w:p>
      <w:r>
        <w:t xml:space="preserve">(4) (außer Kraft)</w:t>
      </w:r>
    </w:p>
    <w:p>
      <w:r>
        <w:t xml:space="preserve">(5) Bei Verfahren vor Gerichten der Zivil- oder Verwaltungsgerichtsbarkeit über die Vergabe öffentlicher Aufträge und Konzessionen für Vorhaben nach § 2, für die ein Nachprüfungsverfahren nach Absatz 2 nicht statthaft ist, sind alle bestehenden Beschleunigungsmöglichkeiten des jeweiligen Prozessrechts zu nutzen und Interessenabwägungen, insbesondere beim vorläufigen Rechtsschutz, unter Berücksichtigung des Zweckes nach § 1 sowie des besonderen Interesses nach § 3 zu treffen. Dieser Absatz gilt nicht für die Geltendmachung von Schadensersatzansprüchen.</w:t>
      </w:r>
    </w:p>
    <w:p>
      <w:r>
        <w:rPr>
          <w:color w:val="555555"/>
          <w:sz w:val="17"/>
        </w:rPr>
        <w:t xml:space="preserve">Zitiervorschlag: § 9 LNGG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https://recht.nulegal.eu/gesetze/LNGG/9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