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LNGG — Besonderes Interesse</w:t>
      </w:r>
    </w:p>
    <w:p>
      <w:r>
        <w:rPr>
          <w:color w:val="555555"/>
          <w:sz w:val="18"/>
        </w:rPr>
        <w:t xml:space="preserve">LNG-Beschleunigungsgesetz</w:t>
      </w:r>
    </w:p>
    <w:p>
      <w:r>
        <w:rPr>
          <w:color w:val="555555"/>
          <w:sz w:val="18"/>
        </w:rPr>
        <w:t xml:space="preserve">Außer Kraft: § 3 ist seit 01.07.2025 nicht mehr im LNGG enthalten. Angezeigt wird die letzte bekannte Fassung, Stand 01.06.2022.</w:t>
      </w:r>
    </w:p>
    <w:p>
      <w:r>
        <w:t xml:space="preserve">Die Vorhaben nach § 2 Absatz 2 sind für die sichere Gasversorgung Deutschlands besonders dringlich. Für diese Vorhaben wird die energiewirtschaftliche Notwendigkeit und der Bedarf zur Gewährleistung der Versorgung der Allgemeinheit mit Gas festgestellt. Die schnellstmögliche Durchführung dieser Vorhaben dient dem zentralen Interesse an einer sicheren und diversifizierten Gasversorgung in Deutschland und ist aus Gründen eines überragenden öffentlichen Interesses und im Interesse der öffentlichen Sicherheit erforderlich.</w:t>
      </w:r>
    </w:p>
    <w:p>
      <w:r>
        <w:rPr>
          <w:color w:val="555555"/>
          <w:sz w:val="17"/>
        </w:rPr>
        <w:t xml:space="preserve">Zitiervorschlag: § 3 LNGG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https://recht.nulegal.eu/gesetze/LNGG/3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