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LNGG — Anwendungsbereich</w:t>
      </w:r>
    </w:p>
    <w:p>
      <w:r>
        <w:rPr>
          <w:color w:val="555555"/>
          <w:sz w:val="18"/>
        </w:rPr>
        <w:t xml:space="preserve">LNG-Beschleunigungsgesetz</w:t>
      </w:r>
    </w:p>
    <w:p>
      <w:r>
        <w:rPr>
          <w:color w:val="555555"/>
          <w:sz w:val="18"/>
        </w:rPr>
        <w:t xml:space="preserve">Außer Kraft: § 2 ist seit 01.07.2025 nicht mehr im LNGG enthalten. Angezeigt wird die letzte bekannte Fassung, Stand 20.07.2023.</w:t>
      </w:r>
    </w:p>
    <w:p>
      <w:r>
        <w:t xml:space="preserve">(1) Dieses Gesetz gilt nach Maßgabe des Absatzes 2 für die Zulassung von:</w:t>
      </w:r>
    </w:p>
    <w:p>
      <w:pPr>
        <w:ind w:left="420"/>
      </w:pPr>
      <w:r>
        <w:t xml:space="preserve">1. stationären schwimmenden Anlagen zur Einfuhr, Entladung, Lagerung und Wiederverdampfung verflüssigten Erdgases,</w:t>
      </w:r>
    </w:p>
    <w:p>
      <w:pPr>
        <w:ind w:left="420"/>
      </w:pPr>
      <w:r>
        <w:t xml:space="preserve">2. stationären landgebundenen Anlagen zur Einfuhr, Entladung, Lagerung und Wiederverdampfung verflüssigten Erdgases,</w:t>
      </w:r>
    </w:p>
    <w:p>
      <w:pPr>
        <w:ind w:left="420"/>
      </w:pPr>
      <w:r>
        <w:t xml:space="preserve">3. Leitungen, die der Anbindung von Anlagen nach Nummer 1 oder Nummer 2 an die Gasversorgungsnetze dienen (LNG-Anbindungsleitungen) sowie Leitungen, die zur Ableitung der Gasmengen von Anlagen nach Nummer 1 zwingend erforderlich sind (mittelbare LNG-Anbindungsleitungen),</w:t>
      </w:r>
    </w:p>
    <w:p>
      <w:pPr>
        <w:ind w:left="420"/>
      </w:pPr>
      <w:r>
        <w:t xml:space="preserve">4. Gewässerausbauten und Gewässerbenutzungen, die für Errichtung und Betrieb der Anlagen nach Nummer 1 oder Nummer 2 erforderlich sind, insbesondere Häfen und Landungsstege,</w:t>
      </w:r>
    </w:p>
    <w:p>
      <w:pPr>
        <w:ind w:left="420"/>
      </w:pPr>
      <w:r>
        <w:t xml:space="preserve">5. Dampf- oder Warmwasserpipelines sowie Heizkesselanlagen, die für den Betrieb der Anlagen nach Nummer 1 oder Nummer 2 erforderlich sind,</w:t>
      </w:r>
    </w:p>
    <w:p>
      <w:pPr>
        <w:ind w:left="420"/>
      </w:pPr>
      <w:r>
        <w:t xml:space="preserve">6. Gasfernleitungen, die direkt an eine LNG-Anbindungsleitung nach Nummer 3 angrenzen und für die Weiterleitung der Gasmengen von Anlagen nach Nummer 1 zwingend erforderlich sind, einschließlich der an diese Gasfernleitungen direkt angrenzenden Verdichter.</w:t>
      </w:r>
    </w:p>
    <w:p>
      <w:r>
        <w:t xml:space="preserve">(2) Dieses Gesetz gilt nur für die in der Anlage bezeichneten Vorhaben sowie für Vorhaben nach Absatz 1 Nummer 4 und 5.</w:t>
      </w:r>
    </w:p>
    <w:p>
      <w:r>
        <w:t xml:space="preserve">(3) Dieses Gesetz gilt zudem für die Vergabe öffentlicher Aufträge und Konzessionen für Vorhaben nach Absatz 2.</w:t>
      </w:r>
    </w:p>
    <w:p>
      <w:r>
        <w:rPr>
          <w:color w:val="555555"/>
          <w:sz w:val="17"/>
        </w:rPr>
        <w:t xml:space="preserve">Zitiervorschlag: § 2 LNGG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