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LNGG — Inkrafttreten, Außerkrafttreten</w:t>
      </w:r>
    </w:p>
    <w:p>
      <w:r>
        <w:rPr>
          <w:color w:val="555555"/>
          <w:sz w:val="18"/>
        </w:rPr>
        <w:t xml:space="preserve">LNG-Beschleunigungsgesetz</w:t>
      </w:r>
    </w:p>
    <w:p>
      <w:r>
        <w:rPr>
          <w:color w:val="555555"/>
          <w:sz w:val="18"/>
        </w:rPr>
        <w:t xml:space="preserve">Stand: 20.07.2023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Die §§ 1 bis 10 treten mit Ausnahme des § 5 Absatz 2 und 3 und des § 9 Absatz 2, 3 und 5 mit Ablauf des 30. Juni 2025 außer Kraft. § 13 tritt mit Ablauf des 30. Juni 2027 außer Kraft.</w:t>
      </w:r>
    </w:p>
    <w:p>
      <w:r>
        <w:rPr>
          <w:color w:val="555555"/>
          <w:sz w:val="17"/>
        </w:rPr>
        <w:t xml:space="preserve">Zitiervorschlag: § 14 LNGG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https://recht.nulegal.eu/gesetze/LNGG/14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