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LNGG — Rechtsbehelfe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Stand: 13.10.2022 (konsolidierte Textfassung, kein amtliches Inkrafttretensdatum)</w:t>
      </w:r>
    </w:p>
    <w:p>
      <w:r>
        <w:t xml:space="preserve">(1) Widerspruch und Anfechtungsklage gegen eine Zulassungsentscheidung für die Vorhaben nach § 2 sowie gegen die Entscheidung über den vorzeitigen Beginn einer Maßnahme haben keine aufschiebende Wirkung. Der Antrag auf Anordnung der aufschiebenden Wirkung des Widerspruchs oder der Anfechtungsklage gegen eine Zulassungsentscheidung nach § 80 Absatz 5 Satz 1 der Verwaltungsgerichtsordnung kann nur innerhalb eines Monats nach der Zustellung der Zulassungsentscheidung gestellt und begründet werden. Darauf ist in der Rechtsbehelfsbelehrung hinzuweisen. § 58 der Verwaltungsgerichtsordnung gilt entsprechend.</w:t>
      </w:r>
    </w:p>
    <w:p>
      <w:r>
        <w:t xml:space="preserve">(2) Treten später Tatsachen ein, die die Anordnung der aufschiebenden Wirkung rechtfertigen, so kann der durch die Zulassungsentscheidung Beschwerte einen hierauf gestützten Antrag nach § 80 Absatz 5 Satz 1 der Verwaltungsgerichtsordnung innerhalb einer Frist von einem Monat stellen und begründen. Die Frist beginnt mit dem Zeitpunkt, in dem der Beschwerte von den Tatsachen Kenntnis erlangt.</w:t>
      </w:r>
    </w:p>
    <w:p>
      <w:r>
        <w:t xml:space="preserve">(3) Im Übrigen bleibt der bestehende Rechtsschutz unberührt.</w:t>
      </w:r>
    </w:p>
    <w:p>
      <w:r>
        <w:t xml:space="preserve">(4) § 9 Absatz 2 und 3 bleibt unberührt.</w:t>
      </w:r>
    </w:p>
    <w:p>
      <w:r>
        <w:rPr>
          <w:color w:val="555555"/>
          <w:sz w:val="17"/>
        </w:rPr>
        <w:t xml:space="preserve">Zitiervorschlag: § 11 LNGG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