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LNGG — Zweck</w:t>
      </w:r>
    </w:p>
    <w:p>
      <w:r>
        <w:rPr>
          <w:color w:val="555555"/>
          <w:sz w:val="18"/>
        </w:rPr>
        <w:t xml:space="preserve">LNG-Beschleunigungsgesetz</w:t>
      </w:r>
    </w:p>
    <w:p>
      <w:r>
        <w:rPr>
          <w:color w:val="555555"/>
          <w:sz w:val="18"/>
        </w:rPr>
        <w:t xml:space="preserve">Außer Kraft: § 1 ist seit 01.07.2025 nicht mehr im LNGG enthalten. Angezeigt wird die letzte bekannte Fassung, Stand 01.06.2022.</w:t>
      </w:r>
    </w:p>
    <w:p>
      <w:r>
        <w:t xml:space="preserve">(1) Dieses Gesetz dient der Sicherung der nationalen Energieversorgung durch die zügige Einbindung verflüssigten Erdgases in das bestehende Fernleitungsnetz.</w:t>
      </w:r>
    </w:p>
    <w:p>
      <w:r>
        <w:t xml:space="preserve">(2) Mit den Vorschriften dieses Gesetzes sollen die Zulassung von Errichtung und Inbetriebnahme der in § 2 bezeichneten Vorhaben sowie die Durchführung von Verfahren für die Vergabe öffentlicher Aufträge und Konzessionen dieser Vorhaben beschleunigt werden.</w:t>
      </w:r>
    </w:p>
    <w:p>
      <w:r>
        <w:rPr>
          <w:color w:val="555555"/>
          <w:sz w:val="17"/>
        </w:rPr>
        <w:t xml:space="preserve">Zitiervorschlag: § 1 LNGG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https://recht.nulegal.eu/gesetze/LNGG/1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