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LMvitV</w:t>
      </w:r>
    </w:p>
    <w:p>
      <w:r>
        <w:rPr>
          <w:color w:val="555555"/>
          <w:sz w:val="18"/>
        </w:rPr>
        <w:t xml:space="preserve">Verordnung über vitaminisierte Lebensmittel</w:t>
      </w:r>
    </w:p>
    <w:p>
      <w:r>
        <w:rPr>
          <w:color w:val="555555"/>
          <w:sz w:val="18"/>
        </w:rPr>
        <w:t xml:space="preserve">Historische Fassung: Stand 10.06.2019 bis 14.06.2026. Dies ist nicht die aktuelle Fassung.</w:t>
      </w:r>
    </w:p>
    <w:p>
      <w:r>
        <w:t xml:space="preserve">Auf Grund des § 5 Nr. 2, 4, 5 und des § 20 des Lebensmittelgesetzes in der Fassung vom 17. Januar 1936 (Reichsgesetzbl. I S. 17) wird verordnet:</w:t>
      </w:r>
    </w:p>
    <w:p>
      <w:r>
        <w:rPr>
          <w:color w:val="555555"/>
          <w:sz w:val="17"/>
        </w:rPr>
        <w:t xml:space="preserve">Zitiervorschlag: Eingangsformel LMvitV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https://recht.nulegal.eu/gesetze/LMvitV/eingangsformel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