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LMvitV — Außerkrafttreten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12.06.2026 bis 14.06.2026. Dies ist nicht die aktuelle Fassung.</w:t>
      </w:r>
    </w:p>
    <w:p>
      <w:r>
        <w:t xml:space="preserve">Diese Verordnung tritt am 14. Juni 2026 außer Kraft.</w:t>
      </w:r>
    </w:p>
    <w:p>
      <w:r>
        <w:rPr>
          <w:color w:val="555555"/>
          <w:sz w:val="17"/>
        </w:rPr>
        <w:t xml:space="preserve">Zitiervorschlag: § 4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