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1b LMvitV</w:t>
      </w:r>
    </w:p>
    <w:p>
      <w:r>
        <w:rPr>
          <w:color w:val="555555"/>
          <w:sz w:val="18"/>
        </w:rPr>
        <w:t xml:space="preserve">Verordnung über vitaminisierte Lebensmittel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(1) Mit nachstehenden Beschränkungen werden zur Vitaminisierung zugelassen:</w:t>
      </w:r>
    </w:p>
    <w:p>
      <w:pPr>
        <w:ind w:left="420"/>
      </w:pPr>
      <w:r>
        <w:t xml:space="preserve">1. Vitamin A-acetat und Vitamin A-palmitat für</w:t>
      </w:r>
    </w:p>
    <w:p>
      <w:pPr>
        <w:ind w:left="780"/>
      </w:pPr>
      <w:r>
        <w:t xml:space="preserve">a) Margarine- und Mischfetterzeugnisse bis zu insgesamt 10 Milligramm auf ein Kilogramm,b) (weggefallen)</w:t>
      </w:r>
    </w:p>
    <w:p>
      <w:pPr>
        <w:ind w:left="780"/>
      </w:pPr>
      <w:r>
        <w:t xml:space="preserve">c) Lebensmittel, die zur Verwendung als Mahlzeit oder anstelle einer Mahlzeit bestimmt sind, bis zu insgesamt 0,9 Milligramm pro Mahlzeit,</w:t>
      </w:r>
    </w:p>
    <w:p>
      <w:pPr>
        <w:ind w:left="420"/>
      </w:pPr>
      <w:r>
        <w:t xml:space="preserve">berechnet als Retinol (Vitamin A-Alkohol);</w:t>
      </w:r>
    </w:p>
    <w:p>
      <w:pPr>
        <w:ind w:left="420"/>
      </w:pPr>
      <w:r>
        <w:t xml:space="preserve">2. Ergocalciferol, Cholecalciferol und Cholecalciferol-Cholesterin für</w:t>
      </w:r>
    </w:p>
    <w:p>
      <w:pPr>
        <w:ind w:left="780"/>
      </w:pPr>
      <w:r>
        <w:t xml:space="preserve">a) Margarine- und Mischfetterzeugnisse bis zu insgesamt 25 Mikrogramm auf ein Kilogramm,b) (weggefallen)</w:t>
      </w:r>
    </w:p>
    <w:p>
      <w:pPr>
        <w:ind w:left="780"/>
      </w:pPr>
      <w:r>
        <w:t xml:space="preserve">c) Lebensmittel, die zur Verwendung als Mahlzeit oder anstelle einer Mahlzeit bestimmt sind, bis zu insgesamt 1,6 Mikrogramm pro Mahlzeit,</w:t>
      </w:r>
    </w:p>
    <w:p>
      <w:pPr>
        <w:ind w:left="420"/>
      </w:pPr>
      <w:r>
        <w:t xml:space="preserve">berechnet als Calciferol.</w:t>
      </w:r>
    </w:p>
    <w:p>
      <w:r>
        <w:t xml:space="preserve">(2) Die Vorschriften der Verordnung über Nahrungsergänzungsmittel bleiben unberührt.</w:t>
      </w:r>
    </w:p>
    <w:p>
      <w:r>
        <w:rPr>
          <w:color w:val="555555"/>
          <w:sz w:val="17"/>
        </w:rPr>
        <w:t xml:space="preserve">Zitiervorschlag: § 1b LMvitV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https://recht.nulegal.eu/gesetze/LMvitV/1b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