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LMvitV</w:t>
      </w:r>
    </w:p>
    <w:p>
      <w:r>
        <w:rPr>
          <w:color w:val="555555"/>
          <w:sz w:val="18"/>
        </w:rPr>
        <w:t xml:space="preserve">Verordnung über vitaminisierte Lebensmittel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Die nachstehenden Lebensmittelzusatzstoffe werden zur Vitaminisierung von Lebensmitteln allgemein zugelassen: Natrium-L-ascorbat (E 301), Kalium-L-ascorbat und Calcium-L-ascorbat (E 302); 6-Palmitoyl-L-ascorbinsäure (E 304); Thiamin-chlorid-hydrochlorid; Thiamin-nitrat; Riboflavin-5-phosphat-Natrium; Pyridoxin-hydrochlorid; Natrium- und Calcium-D-pantothenat; alpha- und beta-Tocopherylacetat; alpha- und beta-Tocopherylsuccinat; Nicotinsäure; Nicotinsäureamid.</w:t>
      </w:r>
    </w:p>
    <w:p>
      <w:r>
        <w:t xml:space="preserve">(2) Die Vorschriften der Verordnung über Nahrungsergänzungsmittel bleiben unberührt.</w:t>
      </w:r>
    </w:p>
    <w:p>
      <w:r>
        <w:t xml:space="preserve">(3) Unberührt bleiben Rechtsvorschriften, die den Zusatz von in Absatz 1 genannten Lebensmittelzusatzstoffen zu bestimmten Lebensmitteln verbieten oder einschränken.</w:t>
      </w:r>
    </w:p>
    <w:p>
      <w:r>
        <w:rPr>
          <w:color w:val="555555"/>
          <w:sz w:val="17"/>
        </w:rPr>
        <w:t xml:space="preserve">Zitiervorschlag: § 1a LMvitV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https://recht.nulegal.eu/gesetze/LMvitV/1a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