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LMZDV — Bier</w:t>
      </w:r>
    </w:p>
    <w:p>
      <w:r>
        <w:rPr>
          <w:color w:val="555555"/>
          <w:sz w:val="18"/>
        </w:rPr>
        <w:t xml:space="preserve">Lebensmittelzusatzstoff-Durchführungsverordnung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Bei der Herstellung von Bier, das unter der Bezeichnung „nach dem deutschen Reinheitsgebot gebraut“ oder unter gleichsinnigen Angaben in den Verkehr gebracht wird, dürfen als Lebensmittelzusatzstoffe nur verwendet werden:</w:t>
      </w:r>
    </w:p>
    <w:p>
      <w:pPr>
        <w:ind w:left="420"/>
      </w:pPr>
      <w:r>
        <w:t xml:space="preserve">1. bei der Herstellung von Bier abgefangenes Kohlendioxid oder</w:t>
      </w:r>
    </w:p>
    <w:p>
      <w:pPr>
        <w:ind w:left="420"/>
      </w:pPr>
      <w:r>
        <w:t xml:space="preserve">2. Kohlendioxid und Stickstoff, wenn</w:t>
      </w:r>
    </w:p>
    <w:p>
      <w:pPr>
        <w:ind w:left="780"/>
      </w:pPr>
      <w:r>
        <w:t xml:space="preserve">a) sie bis auf technisch unvermeidbare Mengen nicht in das Bier übergehen und</w:t>
      </w:r>
    </w:p>
    <w:p>
      <w:pPr>
        <w:ind w:left="780"/>
      </w:pPr>
      <w:r>
        <w:t xml:space="preserve">b) durch die Verwendung keine Erhöhung des Kohlensäuregehaltes des Bieres eintritt.</w:t>
      </w:r>
    </w:p>
    <w:p>
      <w:r>
        <w:rPr>
          <w:color w:val="555555"/>
          <w:sz w:val="17"/>
        </w:rPr>
        <w:t xml:space="preserve">Zitiervorschlag: § 3 LMZDV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https://recht.nulegal.eu/gesetze/LMZDV/3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